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AEC" w:rsidRDefault="009B7AEC" w:rsidP="009B7AEC">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NR-AH3</w:t>
      </w:r>
      <w:r>
        <w:rPr>
          <w:rFonts w:ascii="Arial" w:eastAsia="Batang" w:hAnsi="Arial" w:cs="Arial"/>
          <w:b/>
          <w:bCs/>
          <w:sz w:val="24"/>
          <w:szCs w:val="24"/>
          <w:lang w:val="en-US"/>
        </w:rPr>
        <w:tab/>
      </w:r>
      <w:r w:rsidR="00701451">
        <w:rPr>
          <w:rFonts w:ascii="Arial" w:hAnsi="Arial" w:cs="Arial"/>
          <w:b/>
          <w:bCs/>
          <w:sz w:val="24"/>
          <w:szCs w:val="24"/>
          <w:lang w:val="en-US"/>
        </w:rPr>
        <w:tab/>
      </w:r>
      <w:r w:rsidR="00701451">
        <w:rPr>
          <w:rFonts w:ascii="Arial" w:hAnsi="Arial" w:cs="Arial"/>
          <w:b/>
          <w:bCs/>
          <w:sz w:val="24"/>
          <w:szCs w:val="24"/>
          <w:lang w:val="en-US"/>
        </w:rPr>
        <w:tab/>
        <w:t>R1-1715926</w:t>
      </w:r>
    </w:p>
    <w:p w:rsidR="00A51D74" w:rsidRPr="0034704A" w:rsidRDefault="009B7AEC" w:rsidP="009B7AEC">
      <w:pPr>
        <w:pStyle w:val="CRCoverPage"/>
        <w:snapToGrid w:val="0"/>
        <w:spacing w:after="0"/>
        <w:outlineLvl w:val="0"/>
        <w:rPr>
          <w:b/>
          <w:noProof/>
          <w:sz w:val="14"/>
          <w:szCs w:val="24"/>
          <w:lang w:val="en-US"/>
        </w:rPr>
      </w:pPr>
      <w:r>
        <w:rPr>
          <w:rFonts w:eastAsia="MS Mincho" w:cs="Arial"/>
          <w:b/>
          <w:bCs/>
          <w:sz w:val="24"/>
          <w:lang w:eastAsia="ja-JP"/>
        </w:rPr>
        <w:t>Nagoya</w:t>
      </w:r>
      <w:r w:rsidRPr="0034704A">
        <w:rPr>
          <w:rFonts w:cs="Arial"/>
          <w:b/>
          <w:bCs/>
          <w:sz w:val="24"/>
        </w:rPr>
        <w:t xml:space="preserve">, </w:t>
      </w:r>
      <w:r>
        <w:rPr>
          <w:rFonts w:eastAsia="MS Mincho" w:cs="Arial"/>
          <w:b/>
          <w:bCs/>
          <w:sz w:val="24"/>
          <w:lang w:eastAsia="ja-JP"/>
        </w:rPr>
        <w:t>Japan,</w:t>
      </w:r>
      <w:r w:rsidRPr="0034704A">
        <w:rPr>
          <w:rFonts w:cs="Arial"/>
          <w:b/>
          <w:bCs/>
          <w:sz w:val="24"/>
        </w:rPr>
        <w:t xml:space="preserve"> </w:t>
      </w:r>
      <w:r>
        <w:rPr>
          <w:rFonts w:eastAsia="MS Mincho" w:cs="Arial"/>
          <w:b/>
          <w:bCs/>
          <w:sz w:val="24"/>
          <w:lang w:eastAsia="ja-JP"/>
        </w:rPr>
        <w:t>18</w:t>
      </w:r>
      <w:r w:rsidRPr="00FC5185">
        <w:rPr>
          <w:rFonts w:eastAsia="MS Mincho" w:cs="Arial"/>
          <w:b/>
          <w:bCs/>
          <w:sz w:val="24"/>
          <w:vertAlign w:val="superscript"/>
          <w:lang w:eastAsia="ja-JP"/>
        </w:rPr>
        <w:t>th</w:t>
      </w:r>
      <w:r w:rsidRPr="0034704A">
        <w:rPr>
          <w:rFonts w:eastAsia="MS Mincho" w:cs="Arial"/>
          <w:b/>
          <w:bCs/>
          <w:sz w:val="24"/>
          <w:lang w:eastAsia="ja-JP"/>
        </w:rPr>
        <w:t xml:space="preserve"> </w:t>
      </w:r>
      <w:r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Pr="0034704A">
        <w:rPr>
          <w:rFonts w:cs="Arial"/>
          <w:b/>
          <w:bCs/>
          <w:sz w:val="24"/>
        </w:rPr>
        <w:t xml:space="preserve"> </w:t>
      </w:r>
      <w:r>
        <w:rPr>
          <w:rFonts w:eastAsia="MS Mincho" w:cs="Arial"/>
          <w:b/>
          <w:bCs/>
          <w:sz w:val="24"/>
          <w:lang w:eastAsia="ja-JP"/>
        </w:rPr>
        <w:t>September</w:t>
      </w:r>
      <w:r w:rsidRPr="0034704A">
        <w:rPr>
          <w:rFonts w:cs="Arial"/>
          <w:b/>
          <w:bCs/>
          <w:sz w:val="24"/>
        </w:rPr>
        <w:t xml:space="preserve"> 201</w:t>
      </w:r>
      <w:r w:rsidRPr="0034704A">
        <w:rPr>
          <w:rFonts w:eastAsia="MS Mincho" w:cs="Arial"/>
          <w:b/>
          <w:bCs/>
          <w:sz w:val="24"/>
          <w:lang w:eastAsia="ja-JP"/>
        </w:rPr>
        <w:t>7</w:t>
      </w:r>
    </w:p>
    <w:p w:rsidR="00FC260D" w:rsidRPr="003444D3" w:rsidRDefault="00FC260D" w:rsidP="009B7AEC">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34704A">
        <w:rPr>
          <w:rFonts w:ascii="Arial" w:hAnsi="Arial"/>
          <w:sz w:val="24"/>
          <w:lang w:val="en-US" w:eastAsia="ko-KR"/>
        </w:rPr>
        <w:t>6</w:t>
      </w:r>
      <w:r w:rsidR="009B7AEC">
        <w:rPr>
          <w:rFonts w:ascii="Arial" w:hAnsi="Arial"/>
          <w:sz w:val="24"/>
          <w:lang w:val="en-US" w:eastAsia="ko-KR"/>
        </w:rPr>
        <w:t>.</w:t>
      </w:r>
      <w:r w:rsidR="003D4DA6">
        <w:rPr>
          <w:rFonts w:ascii="Arial" w:hAnsi="Arial"/>
          <w:sz w:val="24"/>
          <w:lang w:val="en-US" w:eastAsia="ko-KR"/>
        </w:rPr>
        <w:t>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31BBF">
        <w:rPr>
          <w:rFonts w:ascii="Arial" w:hAnsi="Arial"/>
          <w:sz w:val="24"/>
          <w:lang w:val="en-US"/>
        </w:rPr>
        <w:t>Finalizing</w:t>
      </w:r>
      <w:r w:rsidR="003F11E5">
        <w:rPr>
          <w:rFonts w:ascii="Arial" w:hAnsi="Arial"/>
          <w:sz w:val="24"/>
          <w:lang w:val="en-US"/>
        </w:rPr>
        <w:t xml:space="preserve"> Layer Mapping</w:t>
      </w:r>
      <w:r w:rsidR="00F72D1D">
        <w:rPr>
          <w:rFonts w:ascii="Arial" w:hAnsi="Arial"/>
          <w:sz w:val="24"/>
          <w:lang w:val="en-US"/>
        </w:rPr>
        <w:t xml:space="preserve"> </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610F86" w:rsidP="000D684E">
      <w:pPr>
        <w:pStyle w:val="maintext"/>
        <w:ind w:firstLine="400"/>
        <w:rPr>
          <w:lang w:val="en-US"/>
        </w:rPr>
      </w:pPr>
      <w:r>
        <w:rPr>
          <w:lang w:val="en-US"/>
        </w:rPr>
        <w:t>There are only two remaining issues on layer mapping for NR</w:t>
      </w:r>
      <w:r w:rsidR="00B40D30">
        <w:rPr>
          <w:lang w:val="en-US"/>
        </w:rPr>
        <w:t xml:space="preserve"> </w:t>
      </w:r>
      <w:r w:rsidR="00554891">
        <w:rPr>
          <w:lang w:val="en-US"/>
        </w:rPr>
        <w:fldChar w:fldCharType="begin"/>
      </w:r>
      <w:r w:rsidR="00B40D30">
        <w:rPr>
          <w:lang w:val="en-US"/>
        </w:rPr>
        <w:instrText xml:space="preserve"> REF _Ref458614461 \r \h </w:instrText>
      </w:r>
      <w:r w:rsidR="00554891">
        <w:rPr>
          <w:lang w:val="en-US"/>
        </w:rPr>
      </w:r>
      <w:r w:rsidR="00554891">
        <w:rPr>
          <w:lang w:val="en-US"/>
        </w:rPr>
        <w:fldChar w:fldCharType="separate"/>
      </w:r>
      <w:r w:rsidR="00915F19">
        <w:rPr>
          <w:lang w:val="en-US"/>
        </w:rPr>
        <w:t>[1]</w:t>
      </w:r>
      <w:r w:rsidR="00554891">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707A05" w:rsidRDefault="003C695C" w:rsidP="007A0EA6">
            <w:pPr>
              <w:snapToGrid w:val="0"/>
              <w:spacing w:after="0"/>
              <w:rPr>
                <w:rFonts w:eastAsia="MS Mincho"/>
                <w:sz w:val="18"/>
                <w:u w:val="single"/>
                <w:lang w:val="en-US" w:eastAsia="ja-JP"/>
              </w:rPr>
            </w:pPr>
            <w:r w:rsidRPr="00707A05">
              <w:rPr>
                <w:rFonts w:eastAsia="MS Mincho"/>
                <w:b/>
                <w:sz w:val="18"/>
                <w:highlight w:val="green"/>
                <w:u w:val="single"/>
                <w:lang w:val="en-US" w:eastAsia="ja-JP"/>
              </w:rPr>
              <w:t>Agreements:</w:t>
            </w:r>
          </w:p>
          <w:p w:rsidR="007B3DA5" w:rsidRDefault="00610F86" w:rsidP="00610F86">
            <w:pPr>
              <w:numPr>
                <w:ilvl w:val="0"/>
                <w:numId w:val="16"/>
              </w:numPr>
              <w:snapToGrid w:val="0"/>
              <w:spacing w:after="0"/>
              <w:rPr>
                <w:sz w:val="18"/>
                <w:lang w:val="en-US"/>
              </w:rPr>
            </w:pPr>
            <w:r>
              <w:rPr>
                <w:sz w:val="18"/>
                <w:lang w:val="en-US"/>
              </w:rPr>
              <w:t>…</w:t>
            </w:r>
          </w:p>
          <w:p w:rsidR="00610F86" w:rsidRDefault="00610F86" w:rsidP="00610F86">
            <w:pPr>
              <w:numPr>
                <w:ilvl w:val="0"/>
                <w:numId w:val="16"/>
              </w:numPr>
              <w:tabs>
                <w:tab w:val="left" w:pos="1025"/>
              </w:tabs>
              <w:spacing w:after="0"/>
              <w:rPr>
                <w:rFonts w:eastAsia="MS Mincho"/>
                <w:lang w:val="en-US" w:eastAsia="ja-JP"/>
              </w:rPr>
            </w:pPr>
            <w:r>
              <w:rPr>
                <w:rFonts w:eastAsia="MS Mincho" w:hint="eastAsia"/>
                <w:lang w:val="en-US" w:eastAsia="ja-JP"/>
              </w:rPr>
              <w:t>FFS for DFT-s-OFDM uplink with and without frequency hopping</w:t>
            </w:r>
          </w:p>
          <w:p w:rsidR="007B3DA5" w:rsidRPr="00610F86" w:rsidRDefault="00610F86" w:rsidP="00610F86">
            <w:pPr>
              <w:numPr>
                <w:ilvl w:val="0"/>
                <w:numId w:val="16"/>
              </w:numPr>
              <w:tabs>
                <w:tab w:val="left" w:pos="1025"/>
              </w:tabs>
              <w:spacing w:after="0"/>
              <w:rPr>
                <w:rFonts w:eastAsia="MS Mincho"/>
                <w:lang w:val="en-US" w:eastAsia="ja-JP"/>
              </w:rPr>
            </w:pPr>
            <w:r>
              <w:rPr>
                <w:rFonts w:eastAsia="MS Mincho" w:hint="eastAsia"/>
                <w:lang w:val="en-US" w:eastAsia="ja-JP"/>
              </w:rPr>
              <w:t>Note that additional layer correspondence can be a separate discussion from 3 to 8 layers</w:t>
            </w:r>
          </w:p>
        </w:tc>
      </w:tr>
    </w:tbl>
    <w:p w:rsidR="007005CD" w:rsidRPr="00AA45C6" w:rsidRDefault="007005CD" w:rsidP="00BD7E9C">
      <w:pPr>
        <w:pStyle w:val="maintext"/>
        <w:ind w:firstLineChars="0" w:firstLine="0"/>
        <w:rPr>
          <w:lang w:val="en-US"/>
        </w:rPr>
      </w:pPr>
    </w:p>
    <w:p w:rsidR="005C43A7" w:rsidRDefault="005C43A7" w:rsidP="00CE7B4B">
      <w:pPr>
        <w:spacing w:before="60" w:after="60" w:line="288" w:lineRule="auto"/>
        <w:ind w:firstLine="450"/>
        <w:jc w:val="both"/>
        <w:rPr>
          <w:lang w:val="en-US"/>
        </w:rPr>
      </w:pPr>
    </w:p>
    <w:p w:rsidR="005C43A7" w:rsidRDefault="005C43A7" w:rsidP="00CE7B4B">
      <w:pPr>
        <w:spacing w:before="60" w:after="60" w:line="288" w:lineRule="auto"/>
        <w:ind w:firstLine="450"/>
        <w:jc w:val="both"/>
        <w:rPr>
          <w:lang w:val="en-US"/>
        </w:rPr>
      </w:pPr>
      <w:r>
        <w:rPr>
          <w:lang w:val="en-US"/>
        </w:rPr>
        <w:t xml:space="preserve">Strictly speaking, the second issue (“layer” mapping for DFT-SOFDM) is not MIMO-related since it has been agreed that DFT-SOFDM is only applicable for single-layer transmission. A better terminology for this is therefore RE mapping (wherein only time and frequency dimensions are involved). </w:t>
      </w:r>
    </w:p>
    <w:p w:rsidR="00BE5D75" w:rsidRDefault="003356DE" w:rsidP="00CE7B4B">
      <w:pPr>
        <w:spacing w:before="60" w:after="60" w:line="288" w:lineRule="auto"/>
        <w:ind w:firstLine="450"/>
        <w:jc w:val="both"/>
        <w:rPr>
          <w:lang w:val="en-US"/>
        </w:rPr>
      </w:pPr>
      <w:r>
        <w:rPr>
          <w:lang w:val="en-US"/>
        </w:rPr>
        <w:t xml:space="preserve">In this contribution, Samsung’s views on </w:t>
      </w:r>
      <w:r w:rsidR="00F34F25">
        <w:rPr>
          <w:lang w:val="en-US"/>
        </w:rPr>
        <w:t xml:space="preserve">the </w:t>
      </w:r>
      <w:r w:rsidR="00BE5D75">
        <w:rPr>
          <w:lang w:val="en-US"/>
        </w:rPr>
        <w:t>highlighted parts are presented:</w:t>
      </w:r>
    </w:p>
    <w:p w:rsidR="00BE5D75" w:rsidRDefault="00BE5D75" w:rsidP="000C2FE6">
      <w:pPr>
        <w:pStyle w:val="ListParagraph"/>
        <w:numPr>
          <w:ilvl w:val="0"/>
          <w:numId w:val="12"/>
        </w:numPr>
        <w:spacing w:before="60" w:after="60" w:line="288" w:lineRule="auto"/>
        <w:ind w:leftChars="0"/>
        <w:jc w:val="both"/>
        <w:rPr>
          <w:lang w:val="en-US"/>
        </w:rPr>
      </w:pPr>
      <w:r w:rsidRPr="00BE5D75">
        <w:rPr>
          <w:lang w:val="en-US"/>
        </w:rPr>
        <w:t>Correspondence b</w:t>
      </w:r>
      <w:r>
        <w:rPr>
          <w:lang w:val="en-US"/>
        </w:rPr>
        <w:t>etween 2 CWs and L layers</w:t>
      </w:r>
    </w:p>
    <w:p w:rsidR="00BE5D75" w:rsidRDefault="00BC7679" w:rsidP="000C2FE6">
      <w:pPr>
        <w:pStyle w:val="ListParagraph"/>
        <w:numPr>
          <w:ilvl w:val="0"/>
          <w:numId w:val="12"/>
        </w:numPr>
        <w:spacing w:before="60" w:after="60" w:line="288" w:lineRule="auto"/>
        <w:ind w:leftChars="0"/>
        <w:jc w:val="both"/>
        <w:rPr>
          <w:lang w:val="en-US"/>
        </w:rPr>
      </w:pPr>
      <w:r>
        <w:rPr>
          <w:lang w:val="en-US"/>
        </w:rPr>
        <w:t>Mapping order</w:t>
      </w:r>
    </w:p>
    <w:p w:rsidR="00BC7679" w:rsidRDefault="00BC7679" w:rsidP="000C2FE6">
      <w:pPr>
        <w:pStyle w:val="ListParagraph"/>
        <w:numPr>
          <w:ilvl w:val="0"/>
          <w:numId w:val="12"/>
        </w:numPr>
        <w:spacing w:before="60" w:after="60" w:line="288" w:lineRule="auto"/>
        <w:ind w:leftChars="0"/>
        <w:jc w:val="both"/>
        <w:rPr>
          <w:lang w:val="en-US"/>
        </w:rPr>
      </w:pPr>
      <w:r>
        <w:rPr>
          <w:lang w:val="en-US"/>
        </w:rPr>
        <w:t xml:space="preserve">Support for frequency </w:t>
      </w:r>
      <w:proofErr w:type="spellStart"/>
      <w:r>
        <w:rPr>
          <w:lang w:val="en-US"/>
        </w:rPr>
        <w:t>interleaver</w:t>
      </w:r>
      <w:proofErr w:type="spellEnd"/>
    </w:p>
    <w:p w:rsidR="00BE5D75" w:rsidRPr="00BE5D75" w:rsidRDefault="00BE5D75" w:rsidP="00BE5D75">
      <w:pPr>
        <w:spacing w:before="60" w:after="60" w:line="288" w:lineRule="auto"/>
        <w:jc w:val="both"/>
        <w:rPr>
          <w:lang w:val="en-US"/>
        </w:rPr>
        <w:sectPr w:rsidR="00BE5D75" w:rsidRPr="00BE5D75" w:rsidSect="00BE745B">
          <w:headerReference w:type="default" r:id="rId9"/>
          <w:footnotePr>
            <w:numRestart w:val="eachSect"/>
          </w:footnotePr>
          <w:type w:val="continuous"/>
          <w:pgSz w:w="11907" w:h="16840" w:code="9"/>
          <w:pgMar w:top="1418" w:right="1134" w:bottom="1134" w:left="1134" w:header="680" w:footer="567" w:gutter="0"/>
          <w:cols w:space="720"/>
        </w:sectPr>
      </w:pPr>
    </w:p>
    <w:p w:rsidR="0076588A" w:rsidRDefault="0076588A" w:rsidP="0076588A">
      <w:pPr>
        <w:spacing w:before="60" w:after="60" w:line="288" w:lineRule="auto"/>
        <w:jc w:val="both"/>
        <w:rPr>
          <w:lang w:val="en-US"/>
        </w:rPr>
      </w:pPr>
    </w:p>
    <w:p w:rsidR="000B135E" w:rsidRPr="00F01185" w:rsidRDefault="005C43A7" w:rsidP="000B135E">
      <w:pPr>
        <w:pStyle w:val="Heading1"/>
        <w:rPr>
          <w:sz w:val="28"/>
          <w:lang w:val="en-US"/>
        </w:rPr>
      </w:pPr>
      <w:r>
        <w:rPr>
          <w:sz w:val="28"/>
          <w:lang w:val="en-US"/>
        </w:rPr>
        <w:t>CW-to-layer correspondence</w:t>
      </w:r>
    </w:p>
    <w:p w:rsidR="00A87A68" w:rsidRDefault="00A87A68" w:rsidP="00B9708B">
      <w:pPr>
        <w:tabs>
          <w:tab w:val="num" w:pos="720"/>
        </w:tabs>
        <w:snapToGrid w:val="0"/>
        <w:spacing w:before="60" w:after="60" w:line="288" w:lineRule="auto"/>
        <w:ind w:firstLine="450"/>
        <w:jc w:val="both"/>
        <w:rPr>
          <w:lang w:val="en-US"/>
        </w:rPr>
      </w:pPr>
      <w:r>
        <w:rPr>
          <w:lang w:val="en-US"/>
        </w:rPr>
        <w:t xml:space="preserve">A fixed correspondence between 2 CWs and </w:t>
      </w:r>
      <w:r w:rsidRPr="005C640D">
        <w:rPr>
          <w:i/>
          <w:lang w:val="en-US"/>
        </w:rPr>
        <w:t>L</w:t>
      </w:r>
      <w:r>
        <w:rPr>
          <w:lang w:val="en-US"/>
        </w:rPr>
        <w:t>&gt;4 layers used in LTE is the simplest alternative. A fully flexible correspondence adds onto the fixed correspondence the following features:</w:t>
      </w:r>
    </w:p>
    <w:p w:rsidR="00A87A68" w:rsidRDefault="00493C2D" w:rsidP="000C2FE6">
      <w:pPr>
        <w:pStyle w:val="ListParagraph"/>
        <w:numPr>
          <w:ilvl w:val="0"/>
          <w:numId w:val="8"/>
        </w:numPr>
        <w:tabs>
          <w:tab w:val="num" w:pos="720"/>
        </w:tabs>
        <w:snapToGrid w:val="0"/>
        <w:spacing w:before="60" w:after="60" w:line="288" w:lineRule="auto"/>
        <w:ind w:leftChars="0"/>
        <w:jc w:val="both"/>
        <w:rPr>
          <w:lang w:val="en-US"/>
        </w:rPr>
      </w:pPr>
      <w:r>
        <w:rPr>
          <w:lang w:val="en-US"/>
        </w:rPr>
        <w:t>F</w:t>
      </w:r>
      <w:r w:rsidR="005C640D">
        <w:rPr>
          <w:lang w:val="en-US"/>
        </w:rPr>
        <w:t>eature 1: F</w:t>
      </w:r>
      <w:r>
        <w:rPr>
          <w:lang w:val="en-US"/>
        </w:rPr>
        <w:t>or a given number of layer</w:t>
      </w:r>
      <w:r w:rsidR="005C640D">
        <w:rPr>
          <w:lang w:val="en-US"/>
        </w:rPr>
        <w:t>s</w:t>
      </w:r>
      <w:r>
        <w:rPr>
          <w:lang w:val="en-US"/>
        </w:rPr>
        <w:t xml:space="preserve"> </w:t>
      </w:r>
      <w:r w:rsidRPr="005C640D">
        <w:rPr>
          <w:i/>
          <w:lang w:val="en-US"/>
        </w:rPr>
        <w:t>L</w:t>
      </w:r>
      <w:r>
        <w:rPr>
          <w:lang w:val="en-US"/>
        </w:rPr>
        <w:t xml:space="preserve"> (&gt;4), each of the 2 CWs can correspond to different number of layers. Without any constraint,</w:t>
      </w:r>
      <w:r w:rsidR="00ED2805">
        <w:rPr>
          <w:lang w:val="en-US"/>
        </w:rPr>
        <w:t xml:space="preserve"> the second column of</w:t>
      </w:r>
      <w:r>
        <w:rPr>
          <w:lang w:val="en-US"/>
        </w:rPr>
        <w:t xml:space="preserve"> </w:t>
      </w:r>
      <w:r w:rsidR="00554891">
        <w:rPr>
          <w:lang w:val="en-US"/>
        </w:rPr>
        <w:fldChar w:fldCharType="begin"/>
      </w:r>
      <w:r w:rsidR="00C4446C">
        <w:rPr>
          <w:lang w:val="en-US"/>
        </w:rPr>
        <w:instrText xml:space="preserve"> REF _Ref481288211 \h </w:instrText>
      </w:r>
      <w:r w:rsidR="00554891">
        <w:rPr>
          <w:lang w:val="en-US"/>
        </w:rPr>
      </w:r>
      <w:r w:rsidR="00554891">
        <w:rPr>
          <w:lang w:val="en-US"/>
        </w:rPr>
        <w:fldChar w:fldCharType="separate"/>
      </w:r>
      <w:r w:rsidR="00C4446C">
        <w:t xml:space="preserve">Table </w:t>
      </w:r>
      <w:r w:rsidR="00C4446C">
        <w:rPr>
          <w:noProof/>
        </w:rPr>
        <w:t>2</w:t>
      </w:r>
      <w:r w:rsidR="00554891">
        <w:rPr>
          <w:lang w:val="en-US"/>
        </w:rPr>
        <w:fldChar w:fldCharType="end"/>
      </w:r>
      <w:r w:rsidR="00C4446C">
        <w:rPr>
          <w:lang w:val="en-US"/>
        </w:rPr>
        <w:t xml:space="preserve"> outlines all possible combinations of (</w:t>
      </w:r>
      <w:r w:rsidR="00C4446C" w:rsidRPr="005C640D">
        <w:rPr>
          <w:i/>
          <w:lang w:val="en-US"/>
        </w:rPr>
        <w:t>L</w:t>
      </w:r>
      <w:r w:rsidR="00C4446C" w:rsidRPr="00C4446C">
        <w:rPr>
          <w:vertAlign w:val="subscript"/>
          <w:lang w:val="en-US"/>
        </w:rPr>
        <w:t>0</w:t>
      </w:r>
      <w:proofErr w:type="gramStart"/>
      <w:r w:rsidR="00C4446C">
        <w:rPr>
          <w:lang w:val="en-US"/>
        </w:rPr>
        <w:t>,</w:t>
      </w:r>
      <w:r w:rsidR="00C4446C" w:rsidRPr="005C640D">
        <w:rPr>
          <w:i/>
          <w:lang w:val="en-US"/>
        </w:rPr>
        <w:t>L</w:t>
      </w:r>
      <w:r w:rsidR="00C4446C" w:rsidRPr="00C4446C">
        <w:rPr>
          <w:vertAlign w:val="subscript"/>
          <w:lang w:val="en-US"/>
        </w:rPr>
        <w:t>1</w:t>
      </w:r>
      <w:proofErr w:type="gramEnd"/>
      <w:r w:rsidR="00C4446C">
        <w:rPr>
          <w:lang w:val="en-US"/>
        </w:rPr>
        <w:t xml:space="preserve">) where </w:t>
      </w:r>
      <w:r w:rsidR="00C4446C" w:rsidRPr="005C640D">
        <w:rPr>
          <w:i/>
          <w:lang w:val="en-US"/>
        </w:rPr>
        <w:t>L</w:t>
      </w:r>
      <w:r w:rsidR="00C4446C" w:rsidRPr="005C640D">
        <w:rPr>
          <w:i/>
          <w:vertAlign w:val="subscript"/>
          <w:lang w:val="en-US"/>
        </w:rPr>
        <w:t>n</w:t>
      </w:r>
      <w:r w:rsidR="00C4446C">
        <w:rPr>
          <w:lang w:val="en-US"/>
        </w:rPr>
        <w:t xml:space="preserve"> denotes the number of layers associated with CW-n</w:t>
      </w:r>
      <w:r w:rsidR="005C640D">
        <w:rPr>
          <w:lang w:val="en-US"/>
        </w:rPr>
        <w:t xml:space="preserve">. The </w:t>
      </w:r>
      <w:r w:rsidR="005C640D" w:rsidRPr="005C640D">
        <w:rPr>
          <w:b/>
          <w:color w:val="3333FF"/>
          <w:lang w:val="en-US"/>
        </w:rPr>
        <w:t>boldfaced blue</w:t>
      </w:r>
      <w:r w:rsidR="005C640D" w:rsidRPr="005C640D">
        <w:rPr>
          <w:color w:val="3333FF"/>
          <w:lang w:val="en-US"/>
        </w:rPr>
        <w:t xml:space="preserve"> </w:t>
      </w:r>
      <w:r w:rsidR="005C640D">
        <w:rPr>
          <w:lang w:val="en-US"/>
        </w:rPr>
        <w:t xml:space="preserve">highlighted combinations are the ones used for LTE fixed correspondence. Therefore, for a given value of </w:t>
      </w:r>
      <w:r w:rsidR="005C640D" w:rsidRPr="005C640D">
        <w:rPr>
          <w:i/>
          <w:lang w:val="en-US"/>
        </w:rPr>
        <w:t>L</w:t>
      </w:r>
      <w:r w:rsidR="005C640D">
        <w:rPr>
          <w:lang w:val="en-US"/>
        </w:rPr>
        <w:t>, there are (</w:t>
      </w:r>
      <w:r w:rsidR="005C640D" w:rsidRPr="005C640D">
        <w:rPr>
          <w:i/>
          <w:lang w:val="en-US"/>
        </w:rPr>
        <w:t>L</w:t>
      </w:r>
      <w:r w:rsidR="005C640D">
        <w:rPr>
          <w:lang w:val="en-US"/>
        </w:rPr>
        <w:t xml:space="preserve"> – 1) possibilities.</w:t>
      </w:r>
    </w:p>
    <w:p w:rsidR="00DC5EB2" w:rsidRDefault="005C640D" w:rsidP="000C2FE6">
      <w:pPr>
        <w:pStyle w:val="ListParagraph"/>
        <w:numPr>
          <w:ilvl w:val="0"/>
          <w:numId w:val="8"/>
        </w:numPr>
        <w:tabs>
          <w:tab w:val="num" w:pos="720"/>
        </w:tabs>
        <w:snapToGrid w:val="0"/>
        <w:spacing w:before="60" w:after="60" w:line="288" w:lineRule="auto"/>
        <w:ind w:leftChars="0"/>
        <w:jc w:val="both"/>
        <w:rPr>
          <w:lang w:val="en-US"/>
        </w:rPr>
      </w:pPr>
      <w:r>
        <w:rPr>
          <w:lang w:val="en-US"/>
        </w:rPr>
        <w:t xml:space="preserve">Feature 2: For a given number of layers for CW-n </w:t>
      </w:r>
      <w:r w:rsidRPr="005C640D">
        <w:rPr>
          <w:i/>
          <w:lang w:val="en-US"/>
        </w:rPr>
        <w:t>L</w:t>
      </w:r>
      <w:r w:rsidRPr="005C640D">
        <w:rPr>
          <w:i/>
          <w:vertAlign w:val="subscript"/>
          <w:lang w:val="en-US"/>
        </w:rPr>
        <w:t>n</w:t>
      </w:r>
      <w:r>
        <w:rPr>
          <w:lang w:val="en-US"/>
        </w:rPr>
        <w:t xml:space="preserve"> which can take value from {1,</w:t>
      </w:r>
      <w:r w:rsidR="00611AB8">
        <w:rPr>
          <w:lang w:val="en-US"/>
        </w:rPr>
        <w:t xml:space="preserve"> </w:t>
      </w:r>
      <w:r>
        <w:rPr>
          <w:lang w:val="en-US"/>
        </w:rPr>
        <w:t>2,</w:t>
      </w:r>
      <w:r w:rsidR="00611AB8">
        <w:rPr>
          <w:lang w:val="en-US"/>
        </w:rPr>
        <w:t xml:space="preserve"> </w:t>
      </w:r>
      <w:r>
        <w:rPr>
          <w:lang w:val="en-US"/>
        </w:rPr>
        <w:t>3,</w:t>
      </w:r>
      <w:r w:rsidR="00611AB8">
        <w:rPr>
          <w:lang w:val="en-US"/>
        </w:rPr>
        <w:t xml:space="preserve"> </w:t>
      </w:r>
      <w:r>
        <w:rPr>
          <w:lang w:val="en-US"/>
        </w:rPr>
        <w:t>4,</w:t>
      </w:r>
      <w:r w:rsidR="00611AB8">
        <w:rPr>
          <w:lang w:val="en-US"/>
        </w:rPr>
        <w:t xml:space="preserve"> </w:t>
      </w:r>
      <w:r>
        <w:rPr>
          <w:lang w:val="en-US"/>
        </w:rPr>
        <w:t>5,</w:t>
      </w:r>
      <w:r w:rsidR="00611AB8">
        <w:rPr>
          <w:lang w:val="en-US"/>
        </w:rPr>
        <w:t xml:space="preserve"> </w:t>
      </w:r>
      <w:r>
        <w:rPr>
          <w:lang w:val="en-US"/>
        </w:rPr>
        <w:t>6,</w:t>
      </w:r>
      <w:r w:rsidR="00611AB8">
        <w:rPr>
          <w:lang w:val="en-US"/>
        </w:rPr>
        <w:t xml:space="preserve"> </w:t>
      </w:r>
      <w:r>
        <w:rPr>
          <w:lang w:val="en-US"/>
        </w:rPr>
        <w:t>7}, the set of layers associated with CW-n</w:t>
      </w:r>
      <w:r w:rsidR="00974E5C">
        <w:rPr>
          <w:lang w:val="en-US"/>
        </w:rPr>
        <w:t>, along with its permutations,</w:t>
      </w:r>
      <w:r>
        <w:rPr>
          <w:lang w:val="en-US"/>
        </w:rPr>
        <w:t xml:space="preserve"> can also vary. </w:t>
      </w:r>
      <w:r w:rsidR="00974E5C">
        <w:rPr>
          <w:lang w:val="en-US"/>
        </w:rPr>
        <w:t>Therefore, f</w:t>
      </w:r>
      <w:r>
        <w:rPr>
          <w:lang w:val="en-US"/>
        </w:rPr>
        <w:t>or</w:t>
      </w:r>
      <w:r w:rsidR="00974E5C">
        <w:rPr>
          <w:lang w:val="en-US"/>
        </w:rPr>
        <w:t xml:space="preserve"> a given</w:t>
      </w:r>
      <w:r>
        <w:rPr>
          <w:lang w:val="en-US"/>
        </w:rPr>
        <w:t xml:space="preserve"> </w:t>
      </w:r>
      <w:r w:rsidRPr="005C640D">
        <w:rPr>
          <w:i/>
          <w:lang w:val="en-US"/>
        </w:rPr>
        <w:t>L</w:t>
      </w:r>
      <w:r>
        <w:rPr>
          <w:lang w:val="en-US"/>
        </w:rPr>
        <w:t xml:space="preserve"> and </w:t>
      </w:r>
      <w:r w:rsidRPr="005C640D">
        <w:rPr>
          <w:i/>
          <w:lang w:val="en-US"/>
        </w:rPr>
        <w:t>L</w:t>
      </w:r>
      <w:r w:rsidR="00974E5C">
        <w:rPr>
          <w:i/>
          <w:vertAlign w:val="subscript"/>
          <w:lang w:val="en-US"/>
        </w:rPr>
        <w:t>0</w:t>
      </w:r>
      <w:r w:rsidR="00974E5C">
        <w:rPr>
          <w:lang w:val="en-US"/>
        </w:rPr>
        <w:t>,</w:t>
      </w:r>
      <w:r>
        <w:rPr>
          <w:lang w:val="en-US"/>
        </w:rPr>
        <w:t xml:space="preserve"> there are </w:t>
      </w:r>
      <m:oMath>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den>
        </m:f>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oMath>
      <w:r w:rsidR="00974E5C">
        <w:rPr>
          <w:lang w:val="en-US"/>
        </w:rPr>
        <w:t xml:space="preserve"> possibilities.</w:t>
      </w:r>
    </w:p>
    <w:p w:rsidR="00F631F9" w:rsidRPr="00A87A68" w:rsidRDefault="00F631F9" w:rsidP="00F631F9">
      <w:pPr>
        <w:pStyle w:val="ListParagraph"/>
        <w:tabs>
          <w:tab w:val="num" w:pos="720"/>
        </w:tabs>
        <w:snapToGrid w:val="0"/>
        <w:spacing w:before="60" w:after="60" w:line="288" w:lineRule="auto"/>
        <w:ind w:leftChars="0" w:left="1160"/>
        <w:jc w:val="both"/>
        <w:rPr>
          <w:lang w:val="en-US"/>
        </w:rPr>
      </w:pPr>
    </w:p>
    <w:p w:rsidR="00A87A68" w:rsidRPr="00DC5EB2" w:rsidRDefault="00DC5EB2" w:rsidP="00DC5EB2">
      <w:pPr>
        <w:pStyle w:val="Caption"/>
        <w:jc w:val="center"/>
        <w:rPr>
          <w:b w:val="0"/>
          <w:lang w:val="en-US"/>
        </w:rPr>
      </w:pPr>
      <w:bookmarkStart w:id="2" w:name="_Ref481288211"/>
      <w:r>
        <w:t xml:space="preserve">Table </w:t>
      </w:r>
      <w:r w:rsidR="00554891">
        <w:fldChar w:fldCharType="begin"/>
      </w:r>
      <w:r>
        <w:instrText xml:space="preserve"> SEQ Table \* ARABIC </w:instrText>
      </w:r>
      <w:r w:rsidR="00554891">
        <w:fldChar w:fldCharType="separate"/>
      </w:r>
      <w:r>
        <w:rPr>
          <w:noProof/>
        </w:rPr>
        <w:t>2</w:t>
      </w:r>
      <w:r w:rsidR="00554891">
        <w:fldChar w:fldCharType="end"/>
      </w:r>
      <w:bookmarkEnd w:id="2"/>
      <w:r>
        <w:t xml:space="preserve"> </w:t>
      </w:r>
      <w:r>
        <w:rPr>
          <w:b w:val="0"/>
        </w:rPr>
        <w:t>All p</w:t>
      </w:r>
      <w:r w:rsidRPr="00DC5EB2">
        <w:rPr>
          <w:b w:val="0"/>
        </w:rPr>
        <w:t>ossible number of layers for each of the 2 CWs</w:t>
      </w:r>
    </w:p>
    <w:tbl>
      <w:tblPr>
        <w:tblStyle w:val="TableGrid"/>
        <w:tblW w:w="0" w:type="auto"/>
        <w:jc w:val="center"/>
        <w:tblInd w:w="-222" w:type="dxa"/>
        <w:tblLook w:val="04A0" w:firstRow="1" w:lastRow="0" w:firstColumn="1" w:lastColumn="0" w:noHBand="0" w:noVBand="1"/>
      </w:tblPr>
      <w:tblGrid>
        <w:gridCol w:w="549"/>
        <w:gridCol w:w="3921"/>
        <w:gridCol w:w="3926"/>
      </w:tblGrid>
      <w:tr w:rsidR="008612FD" w:rsidRPr="004A0E44" w:rsidTr="008612FD">
        <w:trPr>
          <w:jc w:val="center"/>
        </w:trPr>
        <w:tc>
          <w:tcPr>
            <w:tcW w:w="549" w:type="dxa"/>
            <w:shd w:val="clear" w:color="auto" w:fill="D9D9D9" w:themeFill="background1" w:themeFillShade="D9"/>
          </w:tcPr>
          <w:p w:rsidR="008612FD" w:rsidRPr="005C640D" w:rsidRDefault="008612FD" w:rsidP="00C4446C">
            <w:pPr>
              <w:pStyle w:val="2222"/>
              <w:snapToGrid w:val="0"/>
              <w:spacing w:after="0" w:line="240" w:lineRule="auto"/>
              <w:ind w:firstLineChars="0" w:firstLine="0"/>
              <w:jc w:val="center"/>
              <w:rPr>
                <w:b/>
                <w:i/>
              </w:rPr>
            </w:pPr>
            <w:r w:rsidRPr="005C640D">
              <w:rPr>
                <w:b/>
                <w:i/>
              </w:rPr>
              <w:t>L</w:t>
            </w:r>
          </w:p>
        </w:tc>
        <w:tc>
          <w:tcPr>
            <w:tcW w:w="3921"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All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c>
          <w:tcPr>
            <w:tcW w:w="3926"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Reduced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5</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c>
          <w:tcPr>
            <w:tcW w:w="3926" w:type="dxa"/>
          </w:tcPr>
          <w:p w:rsidR="008612FD" w:rsidRPr="004A0E44" w:rsidRDefault="008612FD" w:rsidP="009370A9">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6</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t xml:space="preserve">(1,5), (2,4), </w:t>
            </w:r>
            <w:r w:rsidRPr="004A0E44">
              <w:rPr>
                <w:b/>
                <w:color w:val="3333FF"/>
              </w:rPr>
              <w:t>(3,3)</w:t>
            </w:r>
            <w:r w:rsidRPr="004A0E44">
              <w:t>, (4,2), (5,1)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t xml:space="preserve">(2,4), </w:t>
            </w:r>
            <w:r w:rsidRPr="004A0E44">
              <w:rPr>
                <w:b/>
                <w:color w:val="3333FF"/>
              </w:rPr>
              <w:t>(3,3)</w:t>
            </w:r>
            <w:r w:rsidRPr="004A0E44">
              <w:t>, (4,2)</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7</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(1,6), (2,5), </w:t>
            </w:r>
            <w:r w:rsidRPr="004A0E44">
              <w:rPr>
                <w:b/>
                <w:color w:val="3333FF"/>
                <w:lang w:val="en-US"/>
              </w:rPr>
              <w:t>(3,4)</w:t>
            </w:r>
            <w:r w:rsidRPr="004A0E44">
              <w:rPr>
                <w:lang w:val="en-US"/>
              </w:rPr>
              <w:t>, (4,3), (5,2), (6,1)</w:t>
            </w:r>
          </w:p>
        </w:tc>
        <w:tc>
          <w:tcPr>
            <w:tcW w:w="3926"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b/>
                <w:color w:val="3333FF"/>
                <w:lang w:val="en-US"/>
              </w:rPr>
              <w:t>(3,4)</w:t>
            </w:r>
            <w:r>
              <w:rPr>
                <w:lang w:val="en-US"/>
              </w:rPr>
              <w:t>, (4,3)</w:t>
            </w:r>
            <w:r w:rsidRPr="004A0E44">
              <w:rPr>
                <w:lang w:val="en-US"/>
              </w:rPr>
              <w:t xml:space="preserve"> </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8</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rPr>
                <w:lang w:val="en-US"/>
              </w:rPr>
              <w:t xml:space="preserve">(1,7), (2,6), (3,5), </w:t>
            </w:r>
            <w:r w:rsidRPr="004A0E44">
              <w:rPr>
                <w:b/>
                <w:color w:val="3333FF"/>
                <w:lang w:val="en-US"/>
              </w:rPr>
              <w:t>(4,4)</w:t>
            </w:r>
            <w:r w:rsidRPr="004A0E44">
              <w:rPr>
                <w:lang w:val="en-US"/>
              </w:rPr>
              <w:t>, (5,3), (6,2), (7,1)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rPr>
                <w:b/>
                <w:color w:val="3333FF"/>
                <w:lang w:val="en-US"/>
              </w:rPr>
              <w:t>(4,4)</w:t>
            </w:r>
          </w:p>
        </w:tc>
      </w:tr>
    </w:tbl>
    <w:p w:rsidR="00DC5EB2" w:rsidRDefault="00DC5EB2" w:rsidP="00B9708B">
      <w:pPr>
        <w:tabs>
          <w:tab w:val="num" w:pos="720"/>
        </w:tabs>
        <w:snapToGrid w:val="0"/>
        <w:spacing w:before="60" w:after="60" w:line="288" w:lineRule="auto"/>
        <w:ind w:firstLine="450"/>
        <w:jc w:val="both"/>
        <w:rPr>
          <w:lang w:val="en-US"/>
        </w:rPr>
      </w:pPr>
    </w:p>
    <w:p w:rsidR="00C31BF8" w:rsidRDefault="00611AB8" w:rsidP="00B9708B">
      <w:pPr>
        <w:tabs>
          <w:tab w:val="num" w:pos="720"/>
        </w:tabs>
        <w:snapToGrid w:val="0"/>
        <w:spacing w:before="60" w:after="60" w:line="288" w:lineRule="auto"/>
        <w:ind w:firstLine="450"/>
        <w:jc w:val="both"/>
        <w:rPr>
          <w:lang w:val="en-US"/>
        </w:rPr>
      </w:pPr>
      <w:r>
        <w:rPr>
          <w:lang w:val="en-US"/>
        </w:rPr>
        <w:lastRenderedPageBreak/>
        <w:t xml:space="preserve">Thus, for a given value of </w:t>
      </w:r>
      <w:r w:rsidRPr="00611AB8">
        <w:rPr>
          <w:i/>
          <w:lang w:val="en-US"/>
        </w:rPr>
        <w:t>L</w:t>
      </w:r>
      <w:r>
        <w:rPr>
          <w:lang w:val="en-US"/>
        </w:rPr>
        <w:t xml:space="preserve">, the total number of possible correspondences </w:t>
      </w:r>
      <w:proofErr w:type="gramStart"/>
      <w:r>
        <w:rPr>
          <w:lang w:val="en-US"/>
        </w:rPr>
        <w:t xml:space="preserve">is </w:t>
      </w:r>
      <w:proofErr w:type="gramEnd"/>
      <m:oMath>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=1</m:t>
            </m:r>
          </m:sub>
          <m:sup>
            <m:r>
              <w:rPr>
                <w:rFonts w:ascii="Cambria Math" w:hAnsi="Cambria Math"/>
                <w:lang w:val="en-US"/>
              </w:rPr>
              <m:t>L-1</m:t>
            </m:r>
          </m:sup>
          <m:e>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e>
        </m:nary>
      </m:oMath>
      <w:r w:rsidR="00C31BF8">
        <w:rPr>
          <w:lang w:val="en-US"/>
        </w:rPr>
        <w:t xml:space="preserve">. This results in 205, </w:t>
      </w:r>
      <w:r w:rsidR="00C31BF8" w:rsidRPr="00C31BF8">
        <w:rPr>
          <w:lang w:val="en-US"/>
        </w:rPr>
        <w:t>1236</w:t>
      </w:r>
      <w:r w:rsidR="00C31BF8">
        <w:rPr>
          <w:lang w:val="en-US"/>
        </w:rPr>
        <w:t xml:space="preserve">, </w:t>
      </w:r>
      <w:r w:rsidR="00C31BF8" w:rsidRPr="00C31BF8">
        <w:rPr>
          <w:lang w:val="en-US"/>
        </w:rPr>
        <w:t>8659</w:t>
      </w:r>
      <w:r w:rsidR="00C31BF8">
        <w:rPr>
          <w:lang w:val="en-US"/>
        </w:rPr>
        <w:t xml:space="preserve">, and </w:t>
      </w:r>
      <w:r w:rsidR="00C31BF8" w:rsidRPr="00C31BF8">
        <w:rPr>
          <w:lang w:val="en-US"/>
        </w:rPr>
        <w:t>69280</w:t>
      </w:r>
      <w:r w:rsidR="00C31BF8">
        <w:rPr>
          <w:lang w:val="en-US"/>
        </w:rPr>
        <w:t xml:space="preserve"> possibilities for </w:t>
      </w:r>
      <w:r w:rsidR="00C31BF8" w:rsidRPr="00C31BF8">
        <w:rPr>
          <w:i/>
          <w:lang w:val="en-US"/>
        </w:rPr>
        <w:t>L</w:t>
      </w:r>
      <w:r w:rsidR="00C31BF8">
        <w:rPr>
          <w:lang w:val="en-US"/>
        </w:rPr>
        <w:t>=5, 6, 7, and 8, respectively. As this correspondence needs to be signaled in DCI (DL) and/or CSI repotting (UL), it requires up to 17-bit signaling field.</w:t>
      </w:r>
    </w:p>
    <w:p w:rsidR="00611AB8" w:rsidRDefault="00487EFB" w:rsidP="00646AE7">
      <w:pPr>
        <w:tabs>
          <w:tab w:val="num" w:pos="720"/>
        </w:tabs>
        <w:snapToGrid w:val="0"/>
        <w:spacing w:before="60" w:after="60" w:line="288" w:lineRule="auto"/>
        <w:ind w:firstLine="450"/>
        <w:jc w:val="both"/>
        <w:rPr>
          <w:lang w:val="en-US"/>
        </w:rPr>
      </w:pPr>
      <w:r>
        <w:rPr>
          <w:lang w:val="en-US"/>
        </w:rPr>
        <w:t xml:space="preserve">As pointed out in previous discussions, flexible correspondence </w:t>
      </w:r>
      <w:r w:rsidR="00646AE7">
        <w:rPr>
          <w:lang w:val="en-US"/>
        </w:rPr>
        <w:t xml:space="preserve">is beneficial when one PDCCH is used for multi-TRP transmissions regardless whether it offers </w:t>
      </w:r>
      <w:r w:rsidR="002425CE">
        <w:rPr>
          <w:lang w:val="en-US"/>
        </w:rPr>
        <w:t xml:space="preserve">some performance gain </w:t>
      </w:r>
      <w:r w:rsidR="00646AE7">
        <w:rPr>
          <w:lang w:val="en-US"/>
        </w:rPr>
        <w:t>for single-TRP scenarios. In this case,</w:t>
      </w:r>
      <w:r w:rsidR="002425CE">
        <w:rPr>
          <w:lang w:val="en-US"/>
        </w:rPr>
        <w:t xml:space="preserve"> the number of possibilities can be reduced by the following considerations:</w:t>
      </w:r>
    </w:p>
    <w:p w:rsidR="002425CE" w:rsidRDefault="002425C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Any </w:t>
      </w:r>
      <w:r w:rsidR="00504B40">
        <w:rPr>
          <w:lang w:val="en-US"/>
        </w:rPr>
        <w:t xml:space="preserve">functionality </w:t>
      </w:r>
      <w:r>
        <w:rPr>
          <w:lang w:val="en-US"/>
        </w:rPr>
        <w:t xml:space="preserve">of the features which deals with ordering across layers (as in scheme 2 and 6) can be removed since </w:t>
      </w:r>
      <w:r w:rsidR="00504B40">
        <w:rPr>
          <w:lang w:val="en-US"/>
        </w:rPr>
        <w:t>it is expected that such functionality, if beneficial, is taken care of by precoding</w:t>
      </w:r>
      <w:r w:rsidR="00982754">
        <w:rPr>
          <w:lang w:val="en-US"/>
        </w:rPr>
        <w:t xml:space="preserve"> (i.e. ordering/permutation is a </w:t>
      </w:r>
      <w:r w:rsidR="008F682E">
        <w:rPr>
          <w:lang w:val="en-US"/>
        </w:rPr>
        <w:t xml:space="preserve">special case </w:t>
      </w:r>
      <w:r w:rsidR="00982754">
        <w:rPr>
          <w:lang w:val="en-US"/>
        </w:rPr>
        <w:t>of phase rotation)</w:t>
      </w:r>
      <w:r w:rsidR="00504B40">
        <w:rPr>
          <w:lang w:val="en-US"/>
        </w:rPr>
        <w:t>.</w:t>
      </w:r>
      <w:r w:rsidR="00982754">
        <w:rPr>
          <w:lang w:val="en-US"/>
        </w:rPr>
        <w:t xml:space="preserve"> This is a reasonable assumption as long as the codebooks are designed with sufficiently high spatial resolution. </w:t>
      </w:r>
      <w:r w:rsidR="00504B40">
        <w:rPr>
          <w:lang w:val="en-US"/>
        </w:rPr>
        <w:t xml:space="preserve">  </w:t>
      </w:r>
    </w:p>
    <w:p w:rsidR="008F682E" w:rsidRPr="002425CE" w:rsidRDefault="008F682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To ensure that no new layer mapping scheme (mapping of one CW to ≥1 layers) is introduced, possibilities that require </w:t>
      </w:r>
      <w:r w:rsidRPr="005C640D">
        <w:rPr>
          <w:i/>
          <w:lang w:val="en-US"/>
        </w:rPr>
        <w:t>L</w:t>
      </w:r>
      <w:r w:rsidRPr="005C640D">
        <w:rPr>
          <w:i/>
          <w:vertAlign w:val="subscript"/>
          <w:lang w:val="en-US"/>
        </w:rPr>
        <w:t>n</w:t>
      </w:r>
      <w:r>
        <w:rPr>
          <w:lang w:val="en-US"/>
        </w:rPr>
        <w:t>&gt;4 should be removed. If this condition is observed, flexible correspondence can be further assessed without affecting the completion of other NR components (such as channel coding, TBS table design, UL control design).</w:t>
      </w:r>
    </w:p>
    <w:p w:rsidR="002425CE" w:rsidRDefault="008F682E" w:rsidP="00705FC1">
      <w:pPr>
        <w:tabs>
          <w:tab w:val="num" w:pos="720"/>
        </w:tabs>
        <w:snapToGrid w:val="0"/>
        <w:spacing w:after="120" w:line="288" w:lineRule="auto"/>
        <w:ind w:firstLine="450"/>
        <w:jc w:val="both"/>
        <w:rPr>
          <w:lang w:val="en-US"/>
        </w:rPr>
      </w:pPr>
      <w:r>
        <w:rPr>
          <w:lang w:val="en-US"/>
        </w:rPr>
        <w:t xml:space="preserve">If the above two criteria are applied to designing a scheme for flexible correspondence, </w:t>
      </w:r>
      <w:r w:rsidR="008612FD">
        <w:rPr>
          <w:lang w:val="en-US"/>
        </w:rPr>
        <w:t>the remaining possible combinations of (</w:t>
      </w:r>
      <w:r w:rsidR="008612FD" w:rsidRPr="005C640D">
        <w:rPr>
          <w:i/>
          <w:lang w:val="en-US"/>
        </w:rPr>
        <w:t>L</w:t>
      </w:r>
      <w:r w:rsidR="008612FD" w:rsidRPr="00C4446C">
        <w:rPr>
          <w:vertAlign w:val="subscript"/>
          <w:lang w:val="en-US"/>
        </w:rPr>
        <w:t>0</w:t>
      </w:r>
      <w:r w:rsidR="008612FD">
        <w:rPr>
          <w:lang w:val="en-US"/>
        </w:rPr>
        <w:t>,</w:t>
      </w:r>
      <w:r w:rsidR="00705FC1">
        <w:rPr>
          <w:lang w:val="en-US"/>
        </w:rPr>
        <w:t xml:space="preserve"> </w:t>
      </w:r>
      <w:r w:rsidR="008612FD" w:rsidRPr="005C640D">
        <w:rPr>
          <w:i/>
          <w:lang w:val="en-US"/>
        </w:rPr>
        <w:t>L</w:t>
      </w:r>
      <w:r w:rsidR="008612FD" w:rsidRPr="00C4446C">
        <w:rPr>
          <w:vertAlign w:val="subscript"/>
          <w:lang w:val="en-US"/>
        </w:rPr>
        <w:t>1</w:t>
      </w:r>
      <w:r w:rsidR="008612FD">
        <w:rPr>
          <w:lang w:val="en-US"/>
        </w:rPr>
        <w:t xml:space="preserve">) are outlined in the third column of </w:t>
      </w:r>
      <w:r w:rsidR="00554891">
        <w:rPr>
          <w:lang w:val="en-US"/>
        </w:rPr>
        <w:fldChar w:fldCharType="begin"/>
      </w:r>
      <w:r w:rsidR="008612FD">
        <w:rPr>
          <w:lang w:val="en-US"/>
        </w:rPr>
        <w:instrText xml:space="preserve"> REF _Ref481288211 \h </w:instrText>
      </w:r>
      <w:r w:rsidR="00554891">
        <w:rPr>
          <w:lang w:val="en-US"/>
        </w:rPr>
      </w:r>
      <w:r w:rsidR="00554891">
        <w:rPr>
          <w:lang w:val="en-US"/>
        </w:rPr>
        <w:fldChar w:fldCharType="separate"/>
      </w:r>
      <w:r w:rsidR="008612FD">
        <w:t xml:space="preserve">Table </w:t>
      </w:r>
      <w:r w:rsidR="008612FD">
        <w:rPr>
          <w:noProof/>
        </w:rPr>
        <w:t>2</w:t>
      </w:r>
      <w:r w:rsidR="00554891">
        <w:rPr>
          <w:lang w:val="en-US"/>
        </w:rPr>
        <w:fldChar w:fldCharType="end"/>
      </w:r>
      <w:r w:rsidR="008612FD">
        <w:rPr>
          <w:lang w:val="en-US"/>
        </w:rPr>
        <w:t xml:space="preserve">. </w:t>
      </w:r>
      <w:r w:rsidR="00324610">
        <w:rPr>
          <w:lang w:val="en-US"/>
        </w:rPr>
        <w:t xml:space="preserve">This leaves us with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combinations for a given value of </w:t>
      </w:r>
      <w:r w:rsidR="00324610" w:rsidRPr="00C31BF8">
        <w:rPr>
          <w:i/>
          <w:lang w:val="en-US"/>
        </w:rPr>
        <w:t>L</w:t>
      </w:r>
      <w:r w:rsidR="00324610">
        <w:rPr>
          <w:lang w:val="en-US"/>
        </w:rPr>
        <w:t>.</w:t>
      </w:r>
      <w:r w:rsidR="00324610" w:rsidRPr="00324610">
        <w:rPr>
          <w:lang w:val="en-US"/>
        </w:rPr>
        <w:t xml:space="preserve"> </w:t>
      </w:r>
      <w:r w:rsidR="00324610">
        <w:rPr>
          <w:lang w:val="en-US"/>
        </w:rPr>
        <w:t xml:space="preserve">In addition, feature 2 disappears, resulting in the total number of possibilities of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for a given value of </w:t>
      </w:r>
      <w:r w:rsidR="00324610" w:rsidRPr="00C31BF8">
        <w:rPr>
          <w:i/>
          <w:lang w:val="en-US"/>
        </w:rPr>
        <w:t>L</w:t>
      </w:r>
      <w:r w:rsidR="00324610">
        <w:rPr>
          <w:lang w:val="en-US"/>
        </w:rPr>
        <w:t xml:space="preserve"> (which requires at most 2 bits).</w:t>
      </w:r>
      <w:r w:rsidR="0096381C">
        <w:rPr>
          <w:lang w:val="en-US"/>
        </w:rPr>
        <w:t xml:space="preserve"> This variable correspondence scheme can be described as follows:</w:t>
      </w:r>
    </w:p>
    <w:p w:rsidR="0096381C" w:rsidRPr="0096381C" w:rsidRDefault="0096381C" w:rsidP="000C2FE6">
      <w:pPr>
        <w:pStyle w:val="2222"/>
        <w:numPr>
          <w:ilvl w:val="0"/>
          <w:numId w:val="6"/>
        </w:numPr>
        <w:snapToGrid w:val="0"/>
        <w:spacing w:after="120" w:line="240" w:lineRule="auto"/>
        <w:ind w:firstLineChars="0"/>
        <w:jc w:val="left"/>
        <w:rPr>
          <w:lang w:val="en-US"/>
        </w:rPr>
      </w:pPr>
      <w:r w:rsidRPr="0096381C">
        <w:rPr>
          <w:lang w:val="en-US"/>
        </w:rPr>
        <w:t>The 1</w:t>
      </w:r>
      <w:r w:rsidRPr="0096381C">
        <w:rPr>
          <w:vertAlign w:val="superscript"/>
          <w:lang w:val="en-US"/>
        </w:rPr>
        <w:t>st</w:t>
      </w:r>
      <w:r w:rsidRPr="0096381C">
        <w:rPr>
          <w:lang w:val="en-US"/>
        </w:rPr>
        <w:t xml:space="preserv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oMath>
      <w:r w:rsidRPr="0096381C">
        <w:rPr>
          <w:lang w:val="en-US"/>
        </w:rPr>
        <w:t xml:space="preserve"> layers </w:t>
      </w:r>
      <w:r w:rsidRPr="0096381C">
        <w:rPr>
          <w:lang w:val="en-US"/>
        </w:rPr>
        <w:sym w:font="Wingdings" w:char="F0E0"/>
      </w:r>
      <w:r w:rsidRPr="0096381C">
        <w:rPr>
          <w:lang w:val="en-US"/>
        </w:rPr>
        <w:t xml:space="preserve"> CW0</w:t>
      </w:r>
      <w:r w:rsidR="00EB292F">
        <w:rPr>
          <w:lang w:val="en-US"/>
        </w:rPr>
        <w:t xml:space="preserve">, where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cs="Times New Roman"/>
            <w:lang w:val="en-US"/>
          </w:rPr>
          <m:t>∈</m:t>
        </m:r>
        <m:d>
          <m:dPr>
            <m:begChr m:val="{"/>
            <m:endChr m:val="}"/>
            <m:ctrlPr>
              <w:rPr>
                <w:rFonts w:ascii="Cambria Math" w:hAnsi="Cambria Math" w:cs="Times New Roman"/>
                <w:i/>
                <w:lang w:val="en-US"/>
              </w:rPr>
            </m:ctrlPr>
          </m:dPr>
          <m:e>
            <m:r>
              <w:rPr>
                <w:rFonts w:ascii="Cambria Math" w:hAnsi="Cambria Math" w:cs="Times New Roman"/>
                <w:lang w:val="en-US"/>
              </w:rPr>
              <m:t>L-4,…,4</m:t>
            </m:r>
          </m:e>
        </m:d>
      </m:oMath>
    </w:p>
    <w:p w:rsidR="00E93377" w:rsidRPr="00EC2B96" w:rsidRDefault="00EB292F" w:rsidP="000C2FE6">
      <w:pPr>
        <w:pStyle w:val="2222"/>
        <w:numPr>
          <w:ilvl w:val="0"/>
          <w:numId w:val="6"/>
        </w:numPr>
        <w:snapToGrid w:val="0"/>
        <w:spacing w:after="120" w:line="240" w:lineRule="auto"/>
        <w:ind w:firstLineChars="0"/>
        <w:jc w:val="left"/>
        <w:rPr>
          <w:lang w:val="en-US"/>
        </w:rPr>
      </w:pPr>
      <w:r>
        <w:rPr>
          <w:lang w:val="en-US"/>
        </w:rPr>
        <w:t xml:space="preserve">Remaining </w:t>
      </w:r>
      <m:oMath>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lang w:val="en-US"/>
                  </w:rPr>
                  <m:t>L-L</m:t>
                </m:r>
              </m:e>
              <m:sub>
                <m:r>
                  <w:rPr>
                    <w:rFonts w:ascii="Cambria Math" w:hAnsi="Cambria Math"/>
                    <w:lang w:val="en-US"/>
                  </w:rPr>
                  <m:t>0</m:t>
                </m:r>
              </m:sub>
            </m:sSub>
          </m:e>
        </m:d>
      </m:oMath>
      <w:r>
        <w:rPr>
          <w:lang w:val="en-US"/>
        </w:rPr>
        <w:t xml:space="preserve"> layers </w:t>
      </w:r>
      <w:r w:rsidR="0096381C" w:rsidRPr="0096381C">
        <w:rPr>
          <w:lang w:val="en-US"/>
        </w:rPr>
        <w:sym w:font="Wingdings" w:char="F0E0"/>
      </w:r>
      <w:r w:rsidR="0096381C" w:rsidRPr="0096381C">
        <w:rPr>
          <w:lang w:val="en-US"/>
        </w:rPr>
        <w:t xml:space="preserve"> CW1</w:t>
      </w:r>
      <w:r w:rsidR="00EC2B96" w:rsidRPr="00EC2B96">
        <w:rPr>
          <w:lang w:val="en-US"/>
        </w:rPr>
        <w:t xml:space="preserve"> </w:t>
      </w:r>
    </w:p>
    <w:p w:rsidR="00EC2B96" w:rsidRDefault="00EC2B96" w:rsidP="00705FC1">
      <w:pPr>
        <w:tabs>
          <w:tab w:val="num" w:pos="720"/>
        </w:tabs>
        <w:snapToGrid w:val="0"/>
        <w:spacing w:after="120" w:line="288" w:lineRule="auto"/>
        <w:jc w:val="both"/>
        <w:rPr>
          <w:lang w:val="en-US"/>
        </w:rPr>
      </w:pPr>
    </w:p>
    <w:p w:rsidR="003B3736" w:rsidRPr="00487EFB" w:rsidRDefault="00E93377" w:rsidP="00487EFB">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0078020A">
        <w:rPr>
          <w:i/>
          <w:lang w:val="en-US"/>
        </w:rPr>
        <w:t>In addition to the agreed fixed correspondence</w:t>
      </w:r>
      <w:r w:rsidR="00EC2B96">
        <w:rPr>
          <w:i/>
          <w:lang w:val="en-US"/>
        </w:rPr>
        <w:t xml:space="preserv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00EC2B96">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0078020A">
        <w:rPr>
          <w:i/>
          <w:lang w:val="en-US"/>
        </w:rPr>
        <w:t xml:space="preserve"> layers to CW1, </w:t>
      </w:r>
      <w:r w:rsidR="003B3736" w:rsidRPr="00487EFB">
        <w:rPr>
          <w:i/>
          <w:lang w:val="en-US"/>
        </w:rPr>
        <w:t xml:space="preserve">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003B3736" w:rsidRPr="00487EFB">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003B3736" w:rsidRPr="00487EFB">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003B3736" w:rsidRPr="00487EFB">
        <w:rPr>
          <w:i/>
          <w:lang w:val="en-US"/>
        </w:rPr>
        <w:t xml:space="preserve"> is signaled via DCI</w:t>
      </w:r>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646AE7" w:rsidP="00E93377">
      <w:pPr>
        <w:pStyle w:val="Heading1"/>
        <w:rPr>
          <w:sz w:val="28"/>
          <w:lang w:val="en-US"/>
        </w:rPr>
      </w:pPr>
      <w:r>
        <w:rPr>
          <w:sz w:val="28"/>
          <w:lang w:val="en-US"/>
        </w:rPr>
        <w:t>RE mapping for DFT-SOFDM</w:t>
      </w:r>
    </w:p>
    <w:p w:rsidR="00646AE7" w:rsidRDefault="00646AE7" w:rsidP="00F2656D">
      <w:pPr>
        <w:snapToGrid w:val="0"/>
        <w:spacing w:before="60" w:after="60" w:line="288" w:lineRule="auto"/>
        <w:ind w:firstLine="450"/>
        <w:jc w:val="both"/>
        <w:rPr>
          <w:lang w:val="en-US"/>
        </w:rPr>
      </w:pPr>
      <w:r>
        <w:rPr>
          <w:lang w:val="en-US"/>
        </w:rPr>
        <w:t xml:space="preserve">For DFT-SOFDM, a few alternatives are available when </w:t>
      </w:r>
      <w:r w:rsidRPr="00E33BB4">
        <w:rPr>
          <w:i/>
          <w:u w:val="single"/>
          <w:lang w:val="en-US"/>
        </w:rPr>
        <w:t>frequency hopping is not used</w:t>
      </w:r>
      <w:r>
        <w:rPr>
          <w:lang w:val="en-US"/>
        </w:rPr>
        <w:t>:</w:t>
      </w:r>
    </w:p>
    <w:p w:rsidR="00646AE7" w:rsidRDefault="00646AE7" w:rsidP="00646AE7">
      <w:pPr>
        <w:pStyle w:val="ListParagraph"/>
        <w:numPr>
          <w:ilvl w:val="0"/>
          <w:numId w:val="19"/>
        </w:numPr>
        <w:snapToGrid w:val="0"/>
        <w:spacing w:before="60" w:after="60" w:line="288" w:lineRule="auto"/>
        <w:ind w:leftChars="0"/>
        <w:jc w:val="both"/>
        <w:rPr>
          <w:lang w:val="en-US"/>
        </w:rPr>
      </w:pPr>
      <w:r>
        <w:rPr>
          <w:lang w:val="en-US"/>
        </w:rPr>
        <w:t>Alt 1.1 T</w:t>
      </w:r>
      <w:r w:rsidRPr="00646AE7">
        <w:rPr>
          <w:lang w:val="en-US"/>
        </w:rPr>
        <w:sym w:font="Wingdings" w:char="F0E0"/>
      </w:r>
      <w:r>
        <w:rPr>
          <w:lang w:val="en-US"/>
        </w:rPr>
        <w:t>F (time first): the modulated symbols are first mapped across DFT-SOFDM symbols, then across sub-carriers</w:t>
      </w:r>
    </w:p>
    <w:p w:rsidR="00646AE7" w:rsidRPr="007150BC" w:rsidRDefault="00646AE7" w:rsidP="007150BC">
      <w:pPr>
        <w:pStyle w:val="ListParagraph"/>
        <w:numPr>
          <w:ilvl w:val="0"/>
          <w:numId w:val="19"/>
        </w:numPr>
        <w:snapToGrid w:val="0"/>
        <w:spacing w:before="60" w:after="60" w:line="288" w:lineRule="auto"/>
        <w:ind w:leftChars="0"/>
        <w:jc w:val="both"/>
        <w:rPr>
          <w:lang w:val="en-US"/>
        </w:rPr>
      </w:pPr>
      <w:r>
        <w:rPr>
          <w:lang w:val="en-US"/>
        </w:rPr>
        <w:t>Alt 1.2 F</w:t>
      </w:r>
      <w:r w:rsidRPr="00646AE7">
        <w:rPr>
          <w:lang w:val="en-US"/>
        </w:rPr>
        <w:sym w:font="Wingdings" w:char="F0E0"/>
      </w:r>
      <w:r>
        <w:rPr>
          <w:lang w:val="en-US"/>
        </w:rPr>
        <w:t>T (frequency first): the modulated symbols are first mapped across sub-carriers, then across DFT-SOFDM symbols</w:t>
      </w:r>
    </w:p>
    <w:p w:rsidR="00E33BB4" w:rsidRDefault="00E33BB4" w:rsidP="006A4902">
      <w:pPr>
        <w:snapToGrid w:val="0"/>
        <w:spacing w:before="60" w:after="60" w:line="288" w:lineRule="auto"/>
        <w:jc w:val="both"/>
        <w:rPr>
          <w:lang w:val="en-US"/>
        </w:rPr>
      </w:pPr>
      <w:r>
        <w:rPr>
          <w:lang w:val="en-US"/>
        </w:rPr>
        <w:t>Just as the case for CP-OFDM, the main benefit of time-first RE mapping appears in scenarios where the following events occur at the same time:</w:t>
      </w:r>
    </w:p>
    <w:p w:rsidR="006A4902" w:rsidRDefault="006A4902" w:rsidP="00E33BB4">
      <w:pPr>
        <w:pStyle w:val="ListParagraph"/>
        <w:numPr>
          <w:ilvl w:val="0"/>
          <w:numId w:val="20"/>
        </w:numPr>
        <w:snapToGrid w:val="0"/>
        <w:spacing w:before="60" w:after="60" w:line="288" w:lineRule="auto"/>
        <w:ind w:leftChars="0"/>
        <w:jc w:val="both"/>
        <w:rPr>
          <w:lang w:val="en-US"/>
        </w:rPr>
      </w:pPr>
      <w:r>
        <w:rPr>
          <w:lang w:val="en-US"/>
        </w:rPr>
        <w:t>Small CB size;</w:t>
      </w:r>
    </w:p>
    <w:p w:rsidR="00E33BB4" w:rsidRDefault="00E33BB4" w:rsidP="00E33BB4">
      <w:pPr>
        <w:pStyle w:val="ListParagraph"/>
        <w:numPr>
          <w:ilvl w:val="0"/>
          <w:numId w:val="20"/>
        </w:numPr>
        <w:snapToGrid w:val="0"/>
        <w:spacing w:before="60" w:after="60" w:line="288" w:lineRule="auto"/>
        <w:ind w:leftChars="0"/>
        <w:jc w:val="both"/>
        <w:rPr>
          <w:lang w:val="en-US"/>
        </w:rPr>
      </w:pPr>
      <w:r>
        <w:rPr>
          <w:lang w:val="en-US"/>
        </w:rPr>
        <w:t>H</w:t>
      </w:r>
      <w:r w:rsidRPr="00E33BB4">
        <w:rPr>
          <w:lang w:val="en-US"/>
        </w:rPr>
        <w:t xml:space="preserve">igh </w:t>
      </w:r>
      <w:r>
        <w:rPr>
          <w:lang w:val="en-US"/>
        </w:rPr>
        <w:t xml:space="preserve">UE </w:t>
      </w:r>
      <w:r w:rsidRPr="00E33BB4">
        <w:rPr>
          <w:lang w:val="en-US"/>
        </w:rPr>
        <w:t>speed</w:t>
      </w:r>
      <w:r>
        <w:rPr>
          <w:lang w:val="en-US"/>
        </w:rPr>
        <w:t>;</w:t>
      </w:r>
      <w:r w:rsidRPr="00E33BB4">
        <w:rPr>
          <w:lang w:val="en-US"/>
        </w:rPr>
        <w:t xml:space="preserve"> </w:t>
      </w:r>
    </w:p>
    <w:p w:rsidR="00E33BB4" w:rsidRPr="00E33BB4" w:rsidRDefault="00E33BB4" w:rsidP="00E33BB4">
      <w:pPr>
        <w:pStyle w:val="ListParagraph"/>
        <w:numPr>
          <w:ilvl w:val="0"/>
          <w:numId w:val="20"/>
        </w:numPr>
        <w:snapToGrid w:val="0"/>
        <w:spacing w:before="60" w:after="60" w:line="288" w:lineRule="auto"/>
        <w:ind w:leftChars="0"/>
        <w:jc w:val="both"/>
        <w:rPr>
          <w:lang w:val="en-US"/>
        </w:rPr>
      </w:pPr>
      <w:r w:rsidRPr="00E33BB4">
        <w:rPr>
          <w:lang w:val="en-US"/>
        </w:rPr>
        <w:t xml:space="preserve">RA with small number of </w:t>
      </w:r>
      <w:r w:rsidR="006A4902">
        <w:rPr>
          <w:lang w:val="en-US"/>
        </w:rPr>
        <w:t xml:space="preserve">localized/adjacent </w:t>
      </w:r>
      <w:r w:rsidRPr="00E33BB4">
        <w:rPr>
          <w:lang w:val="en-US"/>
        </w:rPr>
        <w:t>PRBs</w:t>
      </w:r>
      <w:r>
        <w:rPr>
          <w:lang w:val="en-US"/>
        </w:rPr>
        <w:t xml:space="preserve"> and/or channel lacking frequency selectivity  </w:t>
      </w:r>
    </w:p>
    <w:p w:rsidR="00CD5BFC" w:rsidRDefault="00E33BB4" w:rsidP="006A4902">
      <w:pPr>
        <w:snapToGrid w:val="0"/>
        <w:spacing w:before="60" w:after="60" w:line="288" w:lineRule="auto"/>
        <w:jc w:val="both"/>
        <w:rPr>
          <w:lang w:val="en-US"/>
        </w:rPr>
      </w:pPr>
      <w:r>
        <w:rPr>
          <w:lang w:val="en-US"/>
        </w:rPr>
        <w:t xml:space="preserve">In such scenarios, </w:t>
      </w:r>
      <w:r w:rsidRPr="00E33BB4">
        <w:rPr>
          <w:lang w:val="en-US"/>
        </w:rPr>
        <w:t xml:space="preserve">each CB </w:t>
      </w:r>
      <w:r>
        <w:rPr>
          <w:lang w:val="en-US"/>
        </w:rPr>
        <w:t xml:space="preserve">benefits from </w:t>
      </w:r>
      <w:r w:rsidRPr="00E33BB4">
        <w:rPr>
          <w:lang w:val="en-US"/>
        </w:rPr>
        <w:t>time diversity</w:t>
      </w:r>
      <w:r w:rsidR="006A4902">
        <w:rPr>
          <w:lang w:val="en-US"/>
        </w:rPr>
        <w:t>. It can be argued, however, that this is a corner case</w:t>
      </w:r>
      <w:bookmarkStart w:id="3" w:name="_GoBack"/>
      <w:bookmarkEnd w:id="3"/>
      <w:r w:rsidR="006A4902">
        <w:rPr>
          <w:lang w:val="en-US"/>
        </w:rPr>
        <w:t xml:space="preserve">. </w:t>
      </w:r>
      <w:r w:rsidR="00BC09E0">
        <w:rPr>
          <w:lang w:val="en-US"/>
        </w:rPr>
        <w:t xml:space="preserve">For example, some time diversity also exists with frequency-first mapping. </w:t>
      </w:r>
      <w:r w:rsidR="006A4902">
        <w:rPr>
          <w:lang w:val="en-US"/>
        </w:rPr>
        <w:t xml:space="preserve">The difference in mapping is significant only when a small CB size (in the order of 14 – the number of symbols per slot) is used. Therefore, </w:t>
      </w:r>
      <w:r w:rsidR="00BC09E0">
        <w:rPr>
          <w:lang w:val="en-US"/>
        </w:rPr>
        <w:t xml:space="preserve">considering the corner-case benefits and the use of HARQ which will practically negate any UE-specific gains (from a system perspective, there are no gains) </w:t>
      </w:r>
      <w:r w:rsidR="006A4902">
        <w:rPr>
          <w:lang w:val="en-US"/>
        </w:rPr>
        <w:t>following the consideration for CP-OFDM and for simplicity, Alt 1.2 (F</w:t>
      </w:r>
      <w:r w:rsidR="006A4902" w:rsidRPr="006A4902">
        <w:rPr>
          <w:lang w:val="en-US"/>
        </w:rPr>
        <w:sym w:font="Wingdings" w:char="F0E0"/>
      </w:r>
      <w:r w:rsidR="006A4902">
        <w:rPr>
          <w:lang w:val="en-US"/>
        </w:rPr>
        <w:t xml:space="preserve">T) is preferred.   </w:t>
      </w:r>
      <w:r>
        <w:rPr>
          <w:lang w:val="en-US"/>
        </w:rPr>
        <w:t xml:space="preserve"> </w:t>
      </w:r>
      <w:r w:rsidRPr="00E33BB4">
        <w:rPr>
          <w:lang w:val="en-US"/>
        </w:rPr>
        <w:t xml:space="preserve"> </w:t>
      </w:r>
    </w:p>
    <w:p w:rsidR="00172589" w:rsidRDefault="00646AE7" w:rsidP="00343DB5">
      <w:pPr>
        <w:snapToGrid w:val="0"/>
        <w:spacing w:before="60" w:after="60" w:line="288" w:lineRule="auto"/>
        <w:ind w:firstLine="450"/>
        <w:jc w:val="both"/>
        <w:rPr>
          <w:lang w:val="en-US"/>
        </w:rPr>
      </w:pPr>
      <w:r>
        <w:rPr>
          <w:lang w:val="en-US"/>
        </w:rPr>
        <w:t xml:space="preserve">When </w:t>
      </w:r>
      <w:r w:rsidRPr="00E33BB4">
        <w:rPr>
          <w:i/>
          <w:u w:val="single"/>
          <w:lang w:val="en-US"/>
        </w:rPr>
        <w:t xml:space="preserve">frequency hopping </w:t>
      </w:r>
      <w:r w:rsidR="00CF340C" w:rsidRPr="00E33BB4">
        <w:rPr>
          <w:i/>
          <w:u w:val="single"/>
          <w:lang w:val="en-US"/>
        </w:rPr>
        <w:t>across two sub</w:t>
      </w:r>
      <w:r w:rsidR="00CD5BFC" w:rsidRPr="00E33BB4">
        <w:rPr>
          <w:i/>
          <w:u w:val="single"/>
          <w:lang w:val="en-US"/>
        </w:rPr>
        <w:t>-</w:t>
      </w:r>
      <w:r w:rsidR="00CF340C" w:rsidRPr="00E33BB4">
        <w:rPr>
          <w:i/>
          <w:u w:val="single"/>
          <w:lang w:val="en-US"/>
        </w:rPr>
        <w:t xml:space="preserve">slots </w:t>
      </w:r>
      <w:r w:rsidRPr="00E33BB4">
        <w:rPr>
          <w:i/>
          <w:u w:val="single"/>
          <w:lang w:val="en-US"/>
        </w:rPr>
        <w:t>is used</w:t>
      </w:r>
      <w:r>
        <w:rPr>
          <w:lang w:val="en-US"/>
        </w:rPr>
        <w:t>,</w:t>
      </w:r>
      <w:r w:rsidR="00343DB5">
        <w:rPr>
          <w:lang w:val="en-US"/>
        </w:rPr>
        <w:t xml:space="preserve"> </w:t>
      </w:r>
      <w:r w:rsidR="00CF340C">
        <w:rPr>
          <w:lang w:val="en-US"/>
        </w:rPr>
        <w:t>the number of alternatives increases since an additional dimension is available for RE mapping: sub-slot.</w:t>
      </w:r>
      <w:r w:rsidR="00343DB5">
        <w:rPr>
          <w:lang w:val="en-US"/>
        </w:rPr>
        <w:t xml:space="preserve"> </w:t>
      </w:r>
      <w:r w:rsidR="00172589">
        <w:rPr>
          <w:lang w:val="en-US"/>
        </w:rPr>
        <w:t>As the same argument holds when comparing time-first and frequency-first RE mapping (hence F</w:t>
      </w:r>
      <w:r w:rsidR="00172589" w:rsidRPr="00172589">
        <w:rPr>
          <w:lang w:val="en-US"/>
        </w:rPr>
        <w:sym w:font="Wingdings" w:char="F0E0"/>
      </w:r>
      <w:r w:rsidR="00172589">
        <w:rPr>
          <w:lang w:val="en-US"/>
        </w:rPr>
        <w:t>T mapping is preferred), two alternatives are considered. Here SS refers to sub-slot.</w:t>
      </w:r>
    </w:p>
    <w:p w:rsidR="00343DB5" w:rsidRPr="00172589" w:rsidRDefault="00172589" w:rsidP="00172589">
      <w:pPr>
        <w:pStyle w:val="ListParagraph"/>
        <w:numPr>
          <w:ilvl w:val="0"/>
          <w:numId w:val="19"/>
        </w:numPr>
        <w:snapToGrid w:val="0"/>
        <w:spacing w:before="60" w:after="60" w:line="288" w:lineRule="auto"/>
        <w:ind w:leftChars="0"/>
        <w:jc w:val="both"/>
        <w:rPr>
          <w:lang w:val="en-US"/>
        </w:rPr>
      </w:pPr>
      <w:r>
        <w:rPr>
          <w:lang w:val="en-US"/>
        </w:rPr>
        <w:lastRenderedPageBreak/>
        <w:t>Alt 2.1 F</w:t>
      </w:r>
      <w:r w:rsidRPr="00172589">
        <w:rPr>
          <w:lang w:val="en-US"/>
        </w:rPr>
        <w:sym w:font="Wingdings" w:char="F0E0"/>
      </w:r>
      <w:r>
        <w:rPr>
          <w:lang w:val="en-US"/>
        </w:rPr>
        <w:t>T</w:t>
      </w:r>
      <w:r w:rsidRPr="00172589">
        <w:rPr>
          <w:lang w:val="en-US"/>
        </w:rPr>
        <w:sym w:font="Wingdings" w:char="F0E0"/>
      </w:r>
      <w:r>
        <w:rPr>
          <w:lang w:val="en-US"/>
        </w:rPr>
        <w:t>SS: the modulated symbols are first mapped across sub-carriers, then across DFT-SOFDM symbols within a sub-slot, then across sub-slots (occupying different sets of PRBs)</w:t>
      </w:r>
    </w:p>
    <w:p w:rsidR="00172589" w:rsidRPr="002C573D" w:rsidRDefault="00172589" w:rsidP="00172589">
      <w:pPr>
        <w:pStyle w:val="ListParagraph"/>
        <w:numPr>
          <w:ilvl w:val="0"/>
          <w:numId w:val="21"/>
        </w:numPr>
        <w:snapToGrid w:val="0"/>
        <w:spacing w:before="60" w:after="60" w:line="288" w:lineRule="auto"/>
        <w:ind w:leftChars="0"/>
        <w:jc w:val="both"/>
        <w:rPr>
          <w:lang w:val="en-US"/>
        </w:rPr>
      </w:pPr>
      <w:r w:rsidRPr="002C573D">
        <w:rPr>
          <w:lang w:val="en-US"/>
        </w:rPr>
        <w:t>Alt 2.2 F</w:t>
      </w:r>
      <w:r w:rsidRPr="00172589">
        <w:rPr>
          <w:lang w:val="en-US"/>
        </w:rPr>
        <w:sym w:font="Wingdings" w:char="F0E0"/>
      </w:r>
      <w:r w:rsidRPr="002C573D">
        <w:rPr>
          <w:lang w:val="en-US"/>
        </w:rPr>
        <w:t>SS</w:t>
      </w:r>
      <w:r w:rsidRPr="00172589">
        <w:rPr>
          <w:lang w:val="en-US"/>
        </w:rPr>
        <w:sym w:font="Wingdings" w:char="F0E0"/>
      </w:r>
      <w:r w:rsidRPr="002C573D">
        <w:rPr>
          <w:lang w:val="en-US"/>
        </w:rPr>
        <w:t>T:</w:t>
      </w:r>
      <w:r w:rsidR="00D03976" w:rsidRPr="002C573D">
        <w:rPr>
          <w:lang w:val="en-US"/>
        </w:rPr>
        <w:t xml:space="preserve"> the modulated symbols are first mapped across sub-carriers, </w:t>
      </w:r>
      <w:r w:rsidR="002C573D">
        <w:rPr>
          <w:lang w:val="en-US"/>
        </w:rPr>
        <w:t xml:space="preserve">the across </w:t>
      </w:r>
      <w:r w:rsidR="00D03976" w:rsidRPr="002C573D">
        <w:rPr>
          <w:lang w:val="en-US"/>
        </w:rPr>
        <w:t>sub-slots (occupying different sets of PRBs), then across DFT-SOFDM symbols</w:t>
      </w:r>
      <w:r w:rsidR="002C573D">
        <w:rPr>
          <w:lang w:val="en-US"/>
        </w:rPr>
        <w:t xml:space="preserve"> within a sub-slot</w:t>
      </w:r>
      <w:r w:rsidR="00D03976" w:rsidRPr="002C573D">
        <w:rPr>
          <w:lang w:val="en-US"/>
        </w:rPr>
        <w:t xml:space="preserve"> </w:t>
      </w:r>
    </w:p>
    <w:p w:rsidR="00343DB5" w:rsidRDefault="00DE29A7" w:rsidP="002C573D">
      <w:pPr>
        <w:snapToGrid w:val="0"/>
        <w:spacing w:before="60" w:after="60" w:line="288" w:lineRule="auto"/>
        <w:jc w:val="both"/>
        <w:rPr>
          <w:lang w:val="en-US"/>
        </w:rPr>
      </w:pPr>
      <w:r>
        <w:rPr>
          <w:lang w:val="en-US"/>
        </w:rPr>
        <w:t xml:space="preserve">Compared to Alt 2.1 (which seems more natural), Alt 2.2 offers some time-frequency diversity gain in scenarios similar to those previously described. That is, for small CB size and high UE speed, each CB can benefit from the time-frequency diversity offered by frequency hopping especially for smaller RA size and/or frequency non-selective channels. </w:t>
      </w:r>
      <w:r w:rsidR="00BC09E0">
        <w:rPr>
          <w:lang w:val="en-US"/>
        </w:rPr>
        <w:t xml:space="preserve">Nevertheless, for the cases where DFT-SOFDM is envisioned to apply, SINR is low and the gains from frequency diversity (when any) from FH are expected to be offset by the loss in channel estimation as DMRS interpolation is not possible. Further, in case of a single CB (likely for coverage limited UEs using DFT-SOFDM), there is no difference between time-first or frequency-first mapping. </w:t>
      </w:r>
      <w:r>
        <w:rPr>
          <w:lang w:val="en-US"/>
        </w:rPr>
        <w:t>Therefore, Alt 2.1 seems sufficient and preferred for its simplicity and natural extension of Alt 1.2.</w:t>
      </w:r>
    </w:p>
    <w:p w:rsidR="002D1866" w:rsidRDefault="002D1866" w:rsidP="002D1866">
      <w:pPr>
        <w:snapToGrid w:val="0"/>
        <w:spacing w:before="60" w:after="60" w:line="288" w:lineRule="auto"/>
        <w:jc w:val="both"/>
        <w:rPr>
          <w:lang w:val="en-US"/>
        </w:rPr>
      </w:pPr>
    </w:p>
    <w:p w:rsidR="005B3113" w:rsidRPr="00A71F32" w:rsidRDefault="002D1866" w:rsidP="00996E69">
      <w:pPr>
        <w:snapToGrid w:val="0"/>
        <w:spacing w:before="60" w:after="60" w:line="288" w:lineRule="auto"/>
        <w:jc w:val="both"/>
        <w:rPr>
          <w:i/>
          <w:lang w:val="en-US"/>
        </w:rPr>
      </w:pPr>
      <w:r w:rsidRPr="002D1866">
        <w:rPr>
          <w:b/>
          <w:u w:val="single"/>
          <w:lang w:val="en-US"/>
        </w:rPr>
        <w:t>Proposal</w:t>
      </w:r>
      <w:r w:rsidR="00996E69">
        <w:rPr>
          <w:lang w:val="en-US"/>
        </w:rPr>
        <w:t xml:space="preserve">: </w:t>
      </w:r>
      <w:r w:rsidR="00DE29A7" w:rsidRPr="00A71F32">
        <w:rPr>
          <w:i/>
          <w:lang w:val="en-US"/>
        </w:rPr>
        <w:t>The RE mapping order scheme for DFT-SOFDM can be defined as follows:</w:t>
      </w:r>
    </w:p>
    <w:p w:rsidR="00DE29A7" w:rsidRPr="00A71F32" w:rsidRDefault="00DE29A7" w:rsidP="00DE29A7">
      <w:pPr>
        <w:pStyle w:val="ListParagraph"/>
        <w:numPr>
          <w:ilvl w:val="0"/>
          <w:numId w:val="21"/>
        </w:numPr>
        <w:snapToGrid w:val="0"/>
        <w:spacing w:before="60" w:after="60" w:line="288" w:lineRule="auto"/>
        <w:ind w:leftChars="0"/>
        <w:jc w:val="both"/>
        <w:rPr>
          <w:i/>
          <w:lang w:val="en-US"/>
        </w:rPr>
      </w:pPr>
      <w:r w:rsidRPr="00A71F32">
        <w:rPr>
          <w:i/>
          <w:lang w:val="en-US"/>
        </w:rPr>
        <w:t>With no frequency hopping, frequency-first mapping order is used: the modulated symbols are first mapped across DFT-SOFDM symbols, then across sub-carriers (F</w:t>
      </w:r>
      <w:r w:rsidRPr="00A71F32">
        <w:rPr>
          <w:i/>
          <w:lang w:val="en-US"/>
        </w:rPr>
        <w:sym w:font="Wingdings" w:char="F0E0"/>
      </w:r>
      <w:r w:rsidRPr="00A71F32">
        <w:rPr>
          <w:i/>
          <w:lang w:val="en-US"/>
        </w:rPr>
        <w:t>T)</w:t>
      </w:r>
    </w:p>
    <w:p w:rsidR="00DE29A7" w:rsidRPr="00A71F32" w:rsidRDefault="00DE29A7" w:rsidP="00A71F32">
      <w:pPr>
        <w:pStyle w:val="ListParagraph"/>
        <w:numPr>
          <w:ilvl w:val="0"/>
          <w:numId w:val="19"/>
        </w:numPr>
        <w:snapToGrid w:val="0"/>
        <w:spacing w:before="60" w:after="60" w:line="288" w:lineRule="auto"/>
        <w:ind w:leftChars="0"/>
        <w:jc w:val="both"/>
        <w:rPr>
          <w:i/>
          <w:lang w:val="en-US"/>
        </w:rPr>
      </w:pPr>
      <w:r w:rsidRPr="00A71F32">
        <w:rPr>
          <w:i/>
          <w:lang w:val="en-US"/>
        </w:rPr>
        <w:t xml:space="preserve">With frequency hopping, frequency-first mapping followed by time and sub-slot is used: </w:t>
      </w:r>
      <w:r w:rsidR="00A71F32" w:rsidRPr="00A71F32">
        <w:rPr>
          <w:i/>
          <w:lang w:val="en-US"/>
        </w:rPr>
        <w:t>the modulated symbols are first mapped across sub-carriers, then across DFT-SOFDM symbols within a sub-slot, then across sub-slots (occupying different sets of PRBs)</w:t>
      </w:r>
      <w:r w:rsidRPr="00A71F32">
        <w:rPr>
          <w:i/>
          <w:lang w:val="en-US"/>
        </w:rPr>
        <w:t xml:space="preserve">  </w:t>
      </w:r>
    </w:p>
    <w:p w:rsidR="005E61F2" w:rsidRPr="00653448" w:rsidRDefault="005E61F2" w:rsidP="005E61F2">
      <w:pPr>
        <w:snapToGrid w:val="0"/>
        <w:spacing w:before="60" w:after="60" w:line="288" w:lineRule="auto"/>
        <w:ind w:firstLine="446"/>
        <w:jc w:val="both"/>
        <w:rPr>
          <w:lang w:val="en-US" w:eastAsia="ko-KR"/>
        </w:rPr>
      </w:pPr>
    </w:p>
    <w:p w:rsidR="003D3E2E" w:rsidRPr="003444D3" w:rsidRDefault="003D3E2E" w:rsidP="002958FD">
      <w:pPr>
        <w:pStyle w:val="Heading1"/>
        <w:rPr>
          <w:sz w:val="28"/>
          <w:lang w:val="en-US"/>
        </w:rPr>
      </w:pPr>
      <w:bookmarkStart w:id="4" w:name="_Ref446598642"/>
      <w:r w:rsidRPr="003444D3">
        <w:rPr>
          <w:sz w:val="28"/>
          <w:lang w:val="en-US"/>
        </w:rPr>
        <w:t>Conclusions</w:t>
      </w:r>
      <w:bookmarkEnd w:id="4"/>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A71F32" w:rsidRPr="00A71F32" w:rsidRDefault="00A71F32" w:rsidP="00A71F32">
      <w:pPr>
        <w:pStyle w:val="ListParagraph"/>
        <w:numPr>
          <w:ilvl w:val="0"/>
          <w:numId w:val="19"/>
        </w:numPr>
        <w:tabs>
          <w:tab w:val="num" w:pos="720"/>
        </w:tabs>
        <w:snapToGrid w:val="0"/>
        <w:spacing w:before="60" w:after="60" w:line="288" w:lineRule="auto"/>
        <w:ind w:leftChars="0"/>
        <w:jc w:val="both"/>
        <w:rPr>
          <w:i/>
          <w:lang w:val="en-US"/>
        </w:rPr>
      </w:pPr>
      <w:r w:rsidRPr="00A71F32">
        <w:rPr>
          <w:i/>
          <w:lang w:val="en-US"/>
        </w:rPr>
        <w:t xml:space="preserve">In addition to the agreed fixed correspondence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A71F32">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Pr="00A71F32">
        <w:rPr>
          <w:i/>
          <w:lang w:val="en-US"/>
        </w:rPr>
        <w:t xml:space="preserve"> layers to CW1, 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A71F32">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Pr="00A71F32">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A71F32">
        <w:rPr>
          <w:i/>
          <w:lang w:val="en-US"/>
        </w:rPr>
        <w:t xml:space="preserve"> is signaled via DCI</w:t>
      </w:r>
    </w:p>
    <w:p w:rsidR="00A71F32" w:rsidRPr="00A71F32" w:rsidRDefault="00A71F32" w:rsidP="00A71F32">
      <w:pPr>
        <w:pStyle w:val="ListParagraph"/>
        <w:numPr>
          <w:ilvl w:val="0"/>
          <w:numId w:val="19"/>
        </w:numPr>
        <w:snapToGrid w:val="0"/>
        <w:spacing w:before="60" w:after="60" w:line="288" w:lineRule="auto"/>
        <w:ind w:leftChars="0"/>
        <w:jc w:val="both"/>
        <w:rPr>
          <w:i/>
          <w:lang w:val="en-US"/>
        </w:rPr>
      </w:pPr>
      <w:r w:rsidRPr="00A71F32">
        <w:rPr>
          <w:i/>
          <w:lang w:val="en-US"/>
        </w:rPr>
        <w:t>The RE mapping order scheme for DFT-SOFDM can be defined as follows:</w:t>
      </w:r>
    </w:p>
    <w:p w:rsidR="00A71F32" w:rsidRPr="00A71F32" w:rsidRDefault="00A71F32" w:rsidP="00A71F32">
      <w:pPr>
        <w:pStyle w:val="ListParagraph"/>
        <w:numPr>
          <w:ilvl w:val="0"/>
          <w:numId w:val="21"/>
        </w:numPr>
        <w:snapToGrid w:val="0"/>
        <w:spacing w:before="60" w:after="60" w:line="288" w:lineRule="auto"/>
        <w:ind w:leftChars="0" w:left="1160"/>
        <w:jc w:val="both"/>
        <w:rPr>
          <w:i/>
          <w:lang w:val="en-US"/>
        </w:rPr>
      </w:pPr>
      <w:r w:rsidRPr="00A71F32">
        <w:rPr>
          <w:i/>
          <w:lang w:val="en-US"/>
        </w:rPr>
        <w:t>With no frequency hopping, frequency-first mapping order is used: the modulated symbols are first mapped across DFT-SOFDM symbols, then across sub-carriers (F</w:t>
      </w:r>
      <w:r w:rsidRPr="00A71F32">
        <w:rPr>
          <w:i/>
          <w:lang w:val="en-US"/>
        </w:rPr>
        <w:sym w:font="Wingdings" w:char="F0E0"/>
      </w:r>
      <w:r w:rsidRPr="00A71F32">
        <w:rPr>
          <w:i/>
          <w:lang w:val="en-US"/>
        </w:rPr>
        <w:t>T)</w:t>
      </w:r>
    </w:p>
    <w:p w:rsidR="00A71F32" w:rsidRPr="00A71F32" w:rsidRDefault="00A71F32" w:rsidP="00A71F32">
      <w:pPr>
        <w:pStyle w:val="ListParagraph"/>
        <w:numPr>
          <w:ilvl w:val="0"/>
          <w:numId w:val="19"/>
        </w:numPr>
        <w:snapToGrid w:val="0"/>
        <w:spacing w:before="60" w:after="60" w:line="288" w:lineRule="auto"/>
        <w:ind w:leftChars="0" w:left="1160"/>
        <w:jc w:val="both"/>
        <w:rPr>
          <w:i/>
          <w:lang w:val="en-US"/>
        </w:rPr>
      </w:pPr>
      <w:r w:rsidRPr="00A71F32">
        <w:rPr>
          <w:i/>
          <w:lang w:val="en-US"/>
        </w:rPr>
        <w:t xml:space="preserve">With frequency hopping, frequency-first mapping followed by time and sub-slot is used: the modulated symbols are first mapped across sub-carriers, then across DFT-SOFDM symbols within a sub-slot, then across sub-slots (occupying different sets of PRBs)  </w:t>
      </w:r>
    </w:p>
    <w:p w:rsid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Default="00C23330" w:rsidP="003F10FC">
      <w:pPr>
        <w:pStyle w:val="2222"/>
        <w:numPr>
          <w:ilvl w:val="0"/>
          <w:numId w:val="5"/>
        </w:numPr>
        <w:spacing w:after="120" w:line="288" w:lineRule="auto"/>
        <w:ind w:left="357" w:firstLineChars="0" w:hanging="357"/>
        <w:rPr>
          <w:rFonts w:cs="Times New Roman"/>
          <w:lang w:val="en-US" w:eastAsia="ko-KR"/>
        </w:rPr>
      </w:pPr>
      <w:bookmarkStart w:id="5" w:name="_Ref458614461"/>
      <w:r w:rsidRPr="003444D3">
        <w:rPr>
          <w:rFonts w:cs="Times New Roman"/>
          <w:lang w:val="en-US" w:eastAsia="ko-KR"/>
        </w:rPr>
        <w:t>3GPP, RAN1</w:t>
      </w:r>
      <w:r w:rsidR="003F10FC">
        <w:rPr>
          <w:rFonts w:cs="Times New Roman"/>
          <w:lang w:val="en-US" w:eastAsia="ko-KR"/>
        </w:rPr>
        <w:t>#</w:t>
      </w:r>
      <w:r w:rsidR="00E83A68">
        <w:rPr>
          <w:rFonts w:cs="Times New Roman"/>
          <w:lang w:val="en-US" w:eastAsia="ko-KR"/>
        </w:rPr>
        <w:t>90</w:t>
      </w:r>
      <w:r w:rsidR="008E7F97" w:rsidRPr="003444D3">
        <w:rPr>
          <w:rFonts w:cs="Times New Roman"/>
          <w:lang w:val="en-US" w:eastAsia="ko-KR"/>
        </w:rPr>
        <w:t>, Chairman’s Notes</w:t>
      </w:r>
      <w:bookmarkEnd w:id="5"/>
    </w:p>
    <w:p w:rsidR="0076588A" w:rsidRDefault="0076588A" w:rsidP="0076588A">
      <w:pPr>
        <w:pStyle w:val="2222"/>
        <w:spacing w:after="120" w:line="288" w:lineRule="auto"/>
        <w:ind w:left="357" w:firstLineChars="0" w:firstLine="0"/>
        <w:rPr>
          <w:rFonts w:cs="Times New Roman"/>
          <w:lang w:val="en-US" w:eastAsia="ko-KR"/>
        </w:rPr>
      </w:pPr>
    </w:p>
    <w:p w:rsidR="0010055A" w:rsidRPr="0010055A" w:rsidRDefault="0010055A" w:rsidP="0010055A">
      <w:pPr>
        <w:pStyle w:val="2222"/>
        <w:spacing w:after="120" w:line="288" w:lineRule="auto"/>
        <w:ind w:left="357" w:firstLineChars="0" w:firstLine="0"/>
        <w:jc w:val="center"/>
        <w:rPr>
          <w:rFonts w:cs="Times New Roman"/>
          <w:lang w:eastAsia="ko-KR"/>
        </w:rPr>
      </w:pPr>
    </w:p>
    <w:sectPr w:rsidR="0010055A" w:rsidRPr="0010055A" w:rsidSect="002E60A4">
      <w:head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3EF" w:rsidRDefault="00B833EF">
      <w:r>
        <w:separator/>
      </w:r>
    </w:p>
  </w:endnote>
  <w:endnote w:type="continuationSeparator" w:id="0">
    <w:p w:rsidR="00B833EF" w:rsidRDefault="00B8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3EF" w:rsidRDefault="00B833EF">
      <w:r>
        <w:separator/>
      </w:r>
    </w:p>
  </w:footnote>
  <w:footnote w:type="continuationSeparator" w:id="0">
    <w:p w:rsidR="00B833EF" w:rsidRDefault="00B83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F6966"/>
    <w:multiLevelType w:val="hybridMultilevel"/>
    <w:tmpl w:val="669A7C4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47D23BC"/>
    <w:multiLevelType w:val="hybridMultilevel"/>
    <w:tmpl w:val="4146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087431"/>
    <w:multiLevelType w:val="hybridMultilevel"/>
    <w:tmpl w:val="7F543E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F6206F"/>
    <w:multiLevelType w:val="hybridMultilevel"/>
    <w:tmpl w:val="6964AA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3D512F1"/>
    <w:multiLevelType w:val="hybridMultilevel"/>
    <w:tmpl w:val="A864A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243371"/>
    <w:multiLevelType w:val="hybridMultilevel"/>
    <w:tmpl w:val="25742E2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4E780B2E"/>
    <w:multiLevelType w:val="hybridMultilevel"/>
    <w:tmpl w:val="3E92D078"/>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1">
    <w:nsid w:val="54CC4F15"/>
    <w:multiLevelType w:val="hybridMultilevel"/>
    <w:tmpl w:val="442A9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40020ED"/>
    <w:multiLevelType w:val="hybridMultilevel"/>
    <w:tmpl w:val="9D8E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15">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54D6E35"/>
    <w:multiLevelType w:val="hybridMultilevel"/>
    <w:tmpl w:val="09D81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6C067C"/>
    <w:multiLevelType w:val="hybridMultilevel"/>
    <w:tmpl w:val="D2721DF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0">
    <w:nsid w:val="7FBE61BA"/>
    <w:multiLevelType w:val="hybridMultilevel"/>
    <w:tmpl w:val="D9BC9368"/>
    <w:lvl w:ilvl="0" w:tplc="04090001">
      <w:start w:val="1"/>
      <w:numFmt w:val="bullet"/>
      <w:lvlText w:val=""/>
      <w:lvlJc w:val="left"/>
      <w:pPr>
        <w:ind w:left="1273" w:hanging="360"/>
      </w:pPr>
      <w:rPr>
        <w:rFonts w:ascii="Symbol" w:hAnsi="Symbol"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num w:numId="1">
    <w:abstractNumId w:val="4"/>
  </w:num>
  <w:num w:numId="2">
    <w:abstractNumId w:val="7"/>
  </w:num>
  <w:num w:numId="3">
    <w:abstractNumId w:val="12"/>
  </w:num>
  <w:num w:numId="4">
    <w:abstractNumId w:val="16"/>
  </w:num>
  <w:num w:numId="5">
    <w:abstractNumId w:val="1"/>
  </w:num>
  <w:num w:numId="6">
    <w:abstractNumId w:val="15"/>
  </w:num>
  <w:num w:numId="7">
    <w:abstractNumId w:val="3"/>
  </w:num>
  <w:num w:numId="8">
    <w:abstractNumId w:val="10"/>
  </w:num>
  <w:num w:numId="9">
    <w:abstractNumId w:val="18"/>
  </w:num>
  <w:num w:numId="10">
    <w:abstractNumId w:val="8"/>
  </w:num>
  <w:num w:numId="11">
    <w:abstractNumId w:val="11"/>
  </w:num>
  <w:num w:numId="12">
    <w:abstractNumId w:val="20"/>
  </w:num>
  <w:num w:numId="13">
    <w:abstractNumId w:val="13"/>
  </w:num>
  <w:num w:numId="14">
    <w:abstractNumId w:val="17"/>
  </w:num>
  <w:num w:numId="15">
    <w:abstractNumId w:val="2"/>
  </w:num>
  <w:num w:numId="16">
    <w:abstractNumId w:val="14"/>
  </w:num>
  <w:num w:numId="17">
    <w:abstractNumId w:val="6"/>
  </w:num>
  <w:num w:numId="18">
    <w:abstractNumId w:val="19"/>
  </w:num>
  <w:num w:numId="19">
    <w:abstractNumId w:val="5"/>
  </w:num>
  <w:num w:numId="20">
    <w:abstractNumId w:val="0"/>
  </w:num>
  <w:num w:numId="21">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B779C"/>
    <w:rsid w:val="000C074E"/>
    <w:rsid w:val="000C14C1"/>
    <w:rsid w:val="000C2DAC"/>
    <w:rsid w:val="000C2FE6"/>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55A"/>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1E8"/>
    <w:rsid w:val="001155B8"/>
    <w:rsid w:val="001173EB"/>
    <w:rsid w:val="00117B15"/>
    <w:rsid w:val="00117EB7"/>
    <w:rsid w:val="00120B93"/>
    <w:rsid w:val="00121431"/>
    <w:rsid w:val="00121508"/>
    <w:rsid w:val="0012156A"/>
    <w:rsid w:val="00121AC2"/>
    <w:rsid w:val="001224EF"/>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589"/>
    <w:rsid w:val="00172663"/>
    <w:rsid w:val="00176B67"/>
    <w:rsid w:val="00180AD4"/>
    <w:rsid w:val="00181899"/>
    <w:rsid w:val="00182E06"/>
    <w:rsid w:val="00184848"/>
    <w:rsid w:val="001850D6"/>
    <w:rsid w:val="00186FB0"/>
    <w:rsid w:val="001911AC"/>
    <w:rsid w:val="0019161B"/>
    <w:rsid w:val="00192132"/>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010"/>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3BF1"/>
    <w:rsid w:val="001D4091"/>
    <w:rsid w:val="001D51D6"/>
    <w:rsid w:val="001D524E"/>
    <w:rsid w:val="001D607B"/>
    <w:rsid w:val="001D61B8"/>
    <w:rsid w:val="001E01A3"/>
    <w:rsid w:val="001E083E"/>
    <w:rsid w:val="001E1FFC"/>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02F7"/>
    <w:rsid w:val="00233868"/>
    <w:rsid w:val="00235271"/>
    <w:rsid w:val="002354CF"/>
    <w:rsid w:val="00235759"/>
    <w:rsid w:val="00236BA6"/>
    <w:rsid w:val="0023789F"/>
    <w:rsid w:val="00237C9D"/>
    <w:rsid w:val="00237EB6"/>
    <w:rsid w:val="0024012A"/>
    <w:rsid w:val="00240808"/>
    <w:rsid w:val="002408CB"/>
    <w:rsid w:val="002425CE"/>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67C9"/>
    <w:rsid w:val="002A74D6"/>
    <w:rsid w:val="002B3B3B"/>
    <w:rsid w:val="002B4C6E"/>
    <w:rsid w:val="002B52C6"/>
    <w:rsid w:val="002B57DB"/>
    <w:rsid w:val="002B6BDA"/>
    <w:rsid w:val="002B71B0"/>
    <w:rsid w:val="002C0B30"/>
    <w:rsid w:val="002C0D28"/>
    <w:rsid w:val="002C1230"/>
    <w:rsid w:val="002C2D45"/>
    <w:rsid w:val="002C46A5"/>
    <w:rsid w:val="002C511D"/>
    <w:rsid w:val="002C573D"/>
    <w:rsid w:val="002C60E2"/>
    <w:rsid w:val="002D06B4"/>
    <w:rsid w:val="002D1866"/>
    <w:rsid w:val="002D233C"/>
    <w:rsid w:val="002D2EF7"/>
    <w:rsid w:val="002D488B"/>
    <w:rsid w:val="002D53AF"/>
    <w:rsid w:val="002D5B2B"/>
    <w:rsid w:val="002D6FEE"/>
    <w:rsid w:val="002E0E89"/>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610"/>
    <w:rsid w:val="00324DCD"/>
    <w:rsid w:val="003250F2"/>
    <w:rsid w:val="003264AA"/>
    <w:rsid w:val="003273E7"/>
    <w:rsid w:val="0032775A"/>
    <w:rsid w:val="0033129D"/>
    <w:rsid w:val="00331709"/>
    <w:rsid w:val="00331BBF"/>
    <w:rsid w:val="003324E2"/>
    <w:rsid w:val="003341BA"/>
    <w:rsid w:val="0033527C"/>
    <w:rsid w:val="0033544D"/>
    <w:rsid w:val="003356DE"/>
    <w:rsid w:val="00336575"/>
    <w:rsid w:val="00337211"/>
    <w:rsid w:val="00337623"/>
    <w:rsid w:val="00343DB5"/>
    <w:rsid w:val="0034437D"/>
    <w:rsid w:val="003444D3"/>
    <w:rsid w:val="00344C8F"/>
    <w:rsid w:val="00345DEA"/>
    <w:rsid w:val="00346D04"/>
    <w:rsid w:val="0034704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2524"/>
    <w:rsid w:val="003A4806"/>
    <w:rsid w:val="003A5945"/>
    <w:rsid w:val="003A69C3"/>
    <w:rsid w:val="003A730C"/>
    <w:rsid w:val="003B0AC6"/>
    <w:rsid w:val="003B3227"/>
    <w:rsid w:val="003B33FB"/>
    <w:rsid w:val="003B3736"/>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723"/>
    <w:rsid w:val="003D4DA6"/>
    <w:rsid w:val="003D7379"/>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153B7"/>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0FE"/>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5AE8"/>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87EFB"/>
    <w:rsid w:val="00490340"/>
    <w:rsid w:val="0049325B"/>
    <w:rsid w:val="00493A37"/>
    <w:rsid w:val="00493C2D"/>
    <w:rsid w:val="00493D58"/>
    <w:rsid w:val="004946C7"/>
    <w:rsid w:val="00495685"/>
    <w:rsid w:val="004A0A28"/>
    <w:rsid w:val="004A0E44"/>
    <w:rsid w:val="004A2F45"/>
    <w:rsid w:val="004A360E"/>
    <w:rsid w:val="004A43B9"/>
    <w:rsid w:val="004A4659"/>
    <w:rsid w:val="004A4737"/>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1B3C"/>
    <w:rsid w:val="004F25B5"/>
    <w:rsid w:val="00500034"/>
    <w:rsid w:val="00501E42"/>
    <w:rsid w:val="00502F63"/>
    <w:rsid w:val="00503993"/>
    <w:rsid w:val="00503F9D"/>
    <w:rsid w:val="00504B40"/>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17F"/>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4891"/>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955"/>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113"/>
    <w:rsid w:val="005B334E"/>
    <w:rsid w:val="005B33D7"/>
    <w:rsid w:val="005B3F28"/>
    <w:rsid w:val="005B52A9"/>
    <w:rsid w:val="005B531C"/>
    <w:rsid w:val="005B5915"/>
    <w:rsid w:val="005B5C71"/>
    <w:rsid w:val="005C105E"/>
    <w:rsid w:val="005C1174"/>
    <w:rsid w:val="005C1FE0"/>
    <w:rsid w:val="005C3014"/>
    <w:rsid w:val="005C38FB"/>
    <w:rsid w:val="005C3979"/>
    <w:rsid w:val="005C43A7"/>
    <w:rsid w:val="005C640D"/>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1F2"/>
    <w:rsid w:val="005E68F1"/>
    <w:rsid w:val="005E774C"/>
    <w:rsid w:val="005F0B1E"/>
    <w:rsid w:val="005F1FBE"/>
    <w:rsid w:val="005F4E6B"/>
    <w:rsid w:val="005F514C"/>
    <w:rsid w:val="005F5BAD"/>
    <w:rsid w:val="005F7EE3"/>
    <w:rsid w:val="006003CD"/>
    <w:rsid w:val="00600C24"/>
    <w:rsid w:val="00600CDE"/>
    <w:rsid w:val="00601EA9"/>
    <w:rsid w:val="0060275C"/>
    <w:rsid w:val="0060297E"/>
    <w:rsid w:val="00603253"/>
    <w:rsid w:val="0060460B"/>
    <w:rsid w:val="00605580"/>
    <w:rsid w:val="00605798"/>
    <w:rsid w:val="00605AB5"/>
    <w:rsid w:val="00607327"/>
    <w:rsid w:val="006078B5"/>
    <w:rsid w:val="00610F86"/>
    <w:rsid w:val="00611AB8"/>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0EAA"/>
    <w:rsid w:val="00621018"/>
    <w:rsid w:val="0062196D"/>
    <w:rsid w:val="00621F9F"/>
    <w:rsid w:val="0062531F"/>
    <w:rsid w:val="006255CB"/>
    <w:rsid w:val="00627509"/>
    <w:rsid w:val="00630E9A"/>
    <w:rsid w:val="00631C9C"/>
    <w:rsid w:val="0063477E"/>
    <w:rsid w:val="00634989"/>
    <w:rsid w:val="00635762"/>
    <w:rsid w:val="006377FF"/>
    <w:rsid w:val="0063799C"/>
    <w:rsid w:val="00637AA3"/>
    <w:rsid w:val="00641EB4"/>
    <w:rsid w:val="0064275B"/>
    <w:rsid w:val="006427B7"/>
    <w:rsid w:val="00642A83"/>
    <w:rsid w:val="00643083"/>
    <w:rsid w:val="006458B7"/>
    <w:rsid w:val="006458E7"/>
    <w:rsid w:val="00645E63"/>
    <w:rsid w:val="00646029"/>
    <w:rsid w:val="00646AE7"/>
    <w:rsid w:val="00647880"/>
    <w:rsid w:val="0065003C"/>
    <w:rsid w:val="006515BC"/>
    <w:rsid w:val="00651A61"/>
    <w:rsid w:val="006527CE"/>
    <w:rsid w:val="00653448"/>
    <w:rsid w:val="00653A11"/>
    <w:rsid w:val="00657F0C"/>
    <w:rsid w:val="006608B5"/>
    <w:rsid w:val="00660ECE"/>
    <w:rsid w:val="006610EE"/>
    <w:rsid w:val="00661535"/>
    <w:rsid w:val="00662EA7"/>
    <w:rsid w:val="00662FB7"/>
    <w:rsid w:val="006634B8"/>
    <w:rsid w:val="00665EE3"/>
    <w:rsid w:val="006663DD"/>
    <w:rsid w:val="006666D6"/>
    <w:rsid w:val="00666A15"/>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2F57"/>
    <w:rsid w:val="00694A86"/>
    <w:rsid w:val="00694BC6"/>
    <w:rsid w:val="00696206"/>
    <w:rsid w:val="00696E55"/>
    <w:rsid w:val="0069740D"/>
    <w:rsid w:val="006A0925"/>
    <w:rsid w:val="006A25EB"/>
    <w:rsid w:val="006A2D38"/>
    <w:rsid w:val="006A4902"/>
    <w:rsid w:val="006A49AE"/>
    <w:rsid w:val="006A5C5C"/>
    <w:rsid w:val="006A6E1B"/>
    <w:rsid w:val="006A6FAD"/>
    <w:rsid w:val="006B0244"/>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0699"/>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5819"/>
    <w:rsid w:val="006F6EF9"/>
    <w:rsid w:val="006F79E1"/>
    <w:rsid w:val="006F7BCF"/>
    <w:rsid w:val="007005CD"/>
    <w:rsid w:val="00701451"/>
    <w:rsid w:val="0070274F"/>
    <w:rsid w:val="00705B9C"/>
    <w:rsid w:val="00705FC1"/>
    <w:rsid w:val="00706011"/>
    <w:rsid w:val="0070636F"/>
    <w:rsid w:val="00707482"/>
    <w:rsid w:val="00707A05"/>
    <w:rsid w:val="00707D33"/>
    <w:rsid w:val="0071081E"/>
    <w:rsid w:val="007110E6"/>
    <w:rsid w:val="00711976"/>
    <w:rsid w:val="00712260"/>
    <w:rsid w:val="007130BE"/>
    <w:rsid w:val="00714030"/>
    <w:rsid w:val="007150BC"/>
    <w:rsid w:val="007155D3"/>
    <w:rsid w:val="0071626F"/>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D96"/>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8A"/>
    <w:rsid w:val="007658A6"/>
    <w:rsid w:val="00766BA8"/>
    <w:rsid w:val="0077059F"/>
    <w:rsid w:val="00771F90"/>
    <w:rsid w:val="0077429E"/>
    <w:rsid w:val="00774491"/>
    <w:rsid w:val="007744A8"/>
    <w:rsid w:val="00775996"/>
    <w:rsid w:val="007764D0"/>
    <w:rsid w:val="0077688F"/>
    <w:rsid w:val="00776B42"/>
    <w:rsid w:val="00776D43"/>
    <w:rsid w:val="00776FB7"/>
    <w:rsid w:val="007771F1"/>
    <w:rsid w:val="00777922"/>
    <w:rsid w:val="0078020A"/>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0EA6"/>
    <w:rsid w:val="007A2CF0"/>
    <w:rsid w:val="007A3D39"/>
    <w:rsid w:val="007A3DB5"/>
    <w:rsid w:val="007A4952"/>
    <w:rsid w:val="007B1106"/>
    <w:rsid w:val="007B299C"/>
    <w:rsid w:val="007B2A97"/>
    <w:rsid w:val="007B3DA5"/>
    <w:rsid w:val="007B3ED7"/>
    <w:rsid w:val="007B49B4"/>
    <w:rsid w:val="007B6146"/>
    <w:rsid w:val="007C1BE2"/>
    <w:rsid w:val="007C1FEB"/>
    <w:rsid w:val="007C25EB"/>
    <w:rsid w:val="007C5842"/>
    <w:rsid w:val="007C6231"/>
    <w:rsid w:val="007C7CD0"/>
    <w:rsid w:val="007D2E65"/>
    <w:rsid w:val="007D3572"/>
    <w:rsid w:val="007D3B92"/>
    <w:rsid w:val="007D7A62"/>
    <w:rsid w:val="007E08B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17A8D"/>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2FD"/>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1D97"/>
    <w:rsid w:val="008C3FDD"/>
    <w:rsid w:val="008C5D63"/>
    <w:rsid w:val="008C7A40"/>
    <w:rsid w:val="008D29F8"/>
    <w:rsid w:val="008D324A"/>
    <w:rsid w:val="008D390E"/>
    <w:rsid w:val="008D5A50"/>
    <w:rsid w:val="008D5BAB"/>
    <w:rsid w:val="008D5BB7"/>
    <w:rsid w:val="008D73E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44D5"/>
    <w:rsid w:val="008F55A4"/>
    <w:rsid w:val="008F58AD"/>
    <w:rsid w:val="008F682E"/>
    <w:rsid w:val="008F6B64"/>
    <w:rsid w:val="009004D3"/>
    <w:rsid w:val="00901A1C"/>
    <w:rsid w:val="00902F8A"/>
    <w:rsid w:val="009038A9"/>
    <w:rsid w:val="009042DA"/>
    <w:rsid w:val="00904908"/>
    <w:rsid w:val="009078A9"/>
    <w:rsid w:val="00907AE4"/>
    <w:rsid w:val="00907CE5"/>
    <w:rsid w:val="009103AF"/>
    <w:rsid w:val="009112F8"/>
    <w:rsid w:val="00911CDE"/>
    <w:rsid w:val="0091365E"/>
    <w:rsid w:val="00914221"/>
    <w:rsid w:val="00914E56"/>
    <w:rsid w:val="00915F19"/>
    <w:rsid w:val="009169C2"/>
    <w:rsid w:val="00916D8B"/>
    <w:rsid w:val="009170D7"/>
    <w:rsid w:val="00917BD8"/>
    <w:rsid w:val="0092003A"/>
    <w:rsid w:val="00921C98"/>
    <w:rsid w:val="009220FE"/>
    <w:rsid w:val="0092441A"/>
    <w:rsid w:val="0092464B"/>
    <w:rsid w:val="00924866"/>
    <w:rsid w:val="0092530C"/>
    <w:rsid w:val="00925AA2"/>
    <w:rsid w:val="00927946"/>
    <w:rsid w:val="00927B6A"/>
    <w:rsid w:val="00931E59"/>
    <w:rsid w:val="009322F2"/>
    <w:rsid w:val="00933BB5"/>
    <w:rsid w:val="009370A9"/>
    <w:rsid w:val="0093725F"/>
    <w:rsid w:val="00937E33"/>
    <w:rsid w:val="009446EA"/>
    <w:rsid w:val="00946F02"/>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31D7"/>
    <w:rsid w:val="0096381C"/>
    <w:rsid w:val="00964FE6"/>
    <w:rsid w:val="00966627"/>
    <w:rsid w:val="009666C5"/>
    <w:rsid w:val="009667BF"/>
    <w:rsid w:val="00967D6D"/>
    <w:rsid w:val="009711AF"/>
    <w:rsid w:val="00972D70"/>
    <w:rsid w:val="00974E5C"/>
    <w:rsid w:val="00975CC7"/>
    <w:rsid w:val="00976F41"/>
    <w:rsid w:val="00977E64"/>
    <w:rsid w:val="00980278"/>
    <w:rsid w:val="00980425"/>
    <w:rsid w:val="0098068D"/>
    <w:rsid w:val="009824CA"/>
    <w:rsid w:val="00982754"/>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96E69"/>
    <w:rsid w:val="009A067C"/>
    <w:rsid w:val="009A20C6"/>
    <w:rsid w:val="009A4121"/>
    <w:rsid w:val="009A546A"/>
    <w:rsid w:val="009A5C60"/>
    <w:rsid w:val="009B00DB"/>
    <w:rsid w:val="009B245D"/>
    <w:rsid w:val="009B37A5"/>
    <w:rsid w:val="009B40B4"/>
    <w:rsid w:val="009B4837"/>
    <w:rsid w:val="009B78C4"/>
    <w:rsid w:val="009B7AEC"/>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2ED"/>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5784E"/>
    <w:rsid w:val="00A609EB"/>
    <w:rsid w:val="00A60EBA"/>
    <w:rsid w:val="00A61895"/>
    <w:rsid w:val="00A6241F"/>
    <w:rsid w:val="00A63D53"/>
    <w:rsid w:val="00A6611E"/>
    <w:rsid w:val="00A6651F"/>
    <w:rsid w:val="00A67623"/>
    <w:rsid w:val="00A70256"/>
    <w:rsid w:val="00A70D7D"/>
    <w:rsid w:val="00A7142C"/>
    <w:rsid w:val="00A71F32"/>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87A68"/>
    <w:rsid w:val="00A930E9"/>
    <w:rsid w:val="00A93D2E"/>
    <w:rsid w:val="00A94BD7"/>
    <w:rsid w:val="00A9571F"/>
    <w:rsid w:val="00A96360"/>
    <w:rsid w:val="00A964FE"/>
    <w:rsid w:val="00A9778A"/>
    <w:rsid w:val="00A97967"/>
    <w:rsid w:val="00AA0A55"/>
    <w:rsid w:val="00AA10C3"/>
    <w:rsid w:val="00AA26F6"/>
    <w:rsid w:val="00AA30FA"/>
    <w:rsid w:val="00AA431D"/>
    <w:rsid w:val="00AA45C6"/>
    <w:rsid w:val="00AA55C1"/>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AF7F31"/>
    <w:rsid w:val="00B009C4"/>
    <w:rsid w:val="00B00C96"/>
    <w:rsid w:val="00B01DB5"/>
    <w:rsid w:val="00B0518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3EF"/>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9E0"/>
    <w:rsid w:val="00BC0C41"/>
    <w:rsid w:val="00BC0DC6"/>
    <w:rsid w:val="00BC0E07"/>
    <w:rsid w:val="00BC11C8"/>
    <w:rsid w:val="00BC29C4"/>
    <w:rsid w:val="00BC2EE1"/>
    <w:rsid w:val="00BC5ECA"/>
    <w:rsid w:val="00BC6B61"/>
    <w:rsid w:val="00BC7679"/>
    <w:rsid w:val="00BC7D3A"/>
    <w:rsid w:val="00BD123B"/>
    <w:rsid w:val="00BD215F"/>
    <w:rsid w:val="00BD31C0"/>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4A81"/>
    <w:rsid w:val="00BE5030"/>
    <w:rsid w:val="00BE540C"/>
    <w:rsid w:val="00BE5D75"/>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0728C"/>
    <w:rsid w:val="00C10261"/>
    <w:rsid w:val="00C10A32"/>
    <w:rsid w:val="00C11C5D"/>
    <w:rsid w:val="00C1271B"/>
    <w:rsid w:val="00C13585"/>
    <w:rsid w:val="00C13880"/>
    <w:rsid w:val="00C17342"/>
    <w:rsid w:val="00C20C78"/>
    <w:rsid w:val="00C215D0"/>
    <w:rsid w:val="00C22744"/>
    <w:rsid w:val="00C232F1"/>
    <w:rsid w:val="00C23330"/>
    <w:rsid w:val="00C23494"/>
    <w:rsid w:val="00C23C48"/>
    <w:rsid w:val="00C25F55"/>
    <w:rsid w:val="00C2617F"/>
    <w:rsid w:val="00C27490"/>
    <w:rsid w:val="00C30502"/>
    <w:rsid w:val="00C311DA"/>
    <w:rsid w:val="00C31BF8"/>
    <w:rsid w:val="00C32284"/>
    <w:rsid w:val="00C328DB"/>
    <w:rsid w:val="00C32AC2"/>
    <w:rsid w:val="00C33BE7"/>
    <w:rsid w:val="00C359D2"/>
    <w:rsid w:val="00C42ED0"/>
    <w:rsid w:val="00C4446C"/>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4A9"/>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15E"/>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BFC"/>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0C"/>
    <w:rsid w:val="00CF344A"/>
    <w:rsid w:val="00CF359A"/>
    <w:rsid w:val="00CF3790"/>
    <w:rsid w:val="00CF3A95"/>
    <w:rsid w:val="00CF3B66"/>
    <w:rsid w:val="00CF4F42"/>
    <w:rsid w:val="00CF57C7"/>
    <w:rsid w:val="00CF6AD3"/>
    <w:rsid w:val="00CF723A"/>
    <w:rsid w:val="00CF7537"/>
    <w:rsid w:val="00CF7C58"/>
    <w:rsid w:val="00D03681"/>
    <w:rsid w:val="00D03976"/>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2F1"/>
    <w:rsid w:val="00D33ACD"/>
    <w:rsid w:val="00D348E4"/>
    <w:rsid w:val="00D376DA"/>
    <w:rsid w:val="00D40DAB"/>
    <w:rsid w:val="00D4171F"/>
    <w:rsid w:val="00D4252D"/>
    <w:rsid w:val="00D447B7"/>
    <w:rsid w:val="00D5026F"/>
    <w:rsid w:val="00D51146"/>
    <w:rsid w:val="00D5147E"/>
    <w:rsid w:val="00D51890"/>
    <w:rsid w:val="00D51B09"/>
    <w:rsid w:val="00D53155"/>
    <w:rsid w:val="00D53BD8"/>
    <w:rsid w:val="00D549F8"/>
    <w:rsid w:val="00D54DB1"/>
    <w:rsid w:val="00D55098"/>
    <w:rsid w:val="00D5568B"/>
    <w:rsid w:val="00D55C99"/>
    <w:rsid w:val="00D56839"/>
    <w:rsid w:val="00D56A09"/>
    <w:rsid w:val="00D611F3"/>
    <w:rsid w:val="00D61897"/>
    <w:rsid w:val="00D62BD2"/>
    <w:rsid w:val="00D63046"/>
    <w:rsid w:val="00D63B00"/>
    <w:rsid w:val="00D64D7C"/>
    <w:rsid w:val="00D65B5F"/>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091"/>
    <w:rsid w:val="00D94390"/>
    <w:rsid w:val="00D945AF"/>
    <w:rsid w:val="00D9531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5EB2"/>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29A7"/>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384C"/>
    <w:rsid w:val="00E33BB4"/>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57A12"/>
    <w:rsid w:val="00E57F4A"/>
    <w:rsid w:val="00E60466"/>
    <w:rsid w:val="00E604F7"/>
    <w:rsid w:val="00E60523"/>
    <w:rsid w:val="00E60C67"/>
    <w:rsid w:val="00E60D4C"/>
    <w:rsid w:val="00E61418"/>
    <w:rsid w:val="00E628D6"/>
    <w:rsid w:val="00E62ED2"/>
    <w:rsid w:val="00E6313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3A68"/>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274"/>
    <w:rsid w:val="00EB25B1"/>
    <w:rsid w:val="00EB292F"/>
    <w:rsid w:val="00EB3120"/>
    <w:rsid w:val="00EB40B1"/>
    <w:rsid w:val="00EB45BB"/>
    <w:rsid w:val="00EB721F"/>
    <w:rsid w:val="00EC03BE"/>
    <w:rsid w:val="00EC1B2D"/>
    <w:rsid w:val="00EC1D3E"/>
    <w:rsid w:val="00EC2B96"/>
    <w:rsid w:val="00EC3ACA"/>
    <w:rsid w:val="00EC4AF7"/>
    <w:rsid w:val="00EC5328"/>
    <w:rsid w:val="00EC62BA"/>
    <w:rsid w:val="00EC6529"/>
    <w:rsid w:val="00ED00DE"/>
    <w:rsid w:val="00ED048F"/>
    <w:rsid w:val="00ED0992"/>
    <w:rsid w:val="00ED0A8D"/>
    <w:rsid w:val="00ED2805"/>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4253"/>
    <w:rsid w:val="00F049E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656D"/>
    <w:rsid w:val="00F2776C"/>
    <w:rsid w:val="00F27862"/>
    <w:rsid w:val="00F27C7B"/>
    <w:rsid w:val="00F30825"/>
    <w:rsid w:val="00F30B86"/>
    <w:rsid w:val="00F3162C"/>
    <w:rsid w:val="00F32027"/>
    <w:rsid w:val="00F32A82"/>
    <w:rsid w:val="00F32FFD"/>
    <w:rsid w:val="00F34BD1"/>
    <w:rsid w:val="00F34F25"/>
    <w:rsid w:val="00F36D1A"/>
    <w:rsid w:val="00F370D1"/>
    <w:rsid w:val="00F377E5"/>
    <w:rsid w:val="00F40A42"/>
    <w:rsid w:val="00F42291"/>
    <w:rsid w:val="00F45E58"/>
    <w:rsid w:val="00F46173"/>
    <w:rsid w:val="00F47ABE"/>
    <w:rsid w:val="00F50EF1"/>
    <w:rsid w:val="00F56484"/>
    <w:rsid w:val="00F56C05"/>
    <w:rsid w:val="00F56E59"/>
    <w:rsid w:val="00F56FC6"/>
    <w:rsid w:val="00F61161"/>
    <w:rsid w:val="00F6182E"/>
    <w:rsid w:val="00F628A6"/>
    <w:rsid w:val="00F62EA8"/>
    <w:rsid w:val="00F631F9"/>
    <w:rsid w:val="00F632FA"/>
    <w:rsid w:val="00F63B0A"/>
    <w:rsid w:val="00F63DC4"/>
    <w:rsid w:val="00F63E12"/>
    <w:rsid w:val="00F6537B"/>
    <w:rsid w:val="00F66D2F"/>
    <w:rsid w:val="00F67546"/>
    <w:rsid w:val="00F70310"/>
    <w:rsid w:val="00F70644"/>
    <w:rsid w:val="00F71912"/>
    <w:rsid w:val="00F72D1D"/>
    <w:rsid w:val="00F735BB"/>
    <w:rsid w:val="00F74937"/>
    <w:rsid w:val="00F7496A"/>
    <w:rsid w:val="00F774C1"/>
    <w:rsid w:val="00F7798C"/>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 w:type="character" w:customStyle="1" w:styleId="ListParagraphChar">
    <w:name w:val="List Paragraph Char"/>
    <w:link w:val="ListParagraph"/>
    <w:uiPriority w:val="34"/>
    <w:rsid w:val="006E0699"/>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 w:type="character" w:customStyle="1" w:styleId="ListParagraphChar">
    <w:name w:val="List Paragraph Char"/>
    <w:link w:val="ListParagraph"/>
    <w:uiPriority w:val="34"/>
    <w:rsid w:val="006E06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35897033">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13300670">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298224316">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3500080">
      <w:bodyDiv w:val="1"/>
      <w:marLeft w:val="0"/>
      <w:marRight w:val="0"/>
      <w:marTop w:val="0"/>
      <w:marBottom w:val="0"/>
      <w:divBdr>
        <w:top w:val="none" w:sz="0" w:space="0" w:color="auto"/>
        <w:left w:val="none" w:sz="0" w:space="0" w:color="auto"/>
        <w:bottom w:val="none" w:sz="0" w:space="0" w:color="auto"/>
        <w:right w:val="none" w:sz="0" w:space="0" w:color="auto"/>
      </w:divBdr>
      <w:divsChild>
        <w:div w:id="1509055173">
          <w:marLeft w:val="360"/>
          <w:marRight w:val="0"/>
          <w:marTop w:val="200"/>
          <w:marBottom w:val="0"/>
          <w:divBdr>
            <w:top w:val="none" w:sz="0" w:space="0" w:color="auto"/>
            <w:left w:val="none" w:sz="0" w:space="0" w:color="auto"/>
            <w:bottom w:val="none" w:sz="0" w:space="0" w:color="auto"/>
            <w:right w:val="none" w:sz="0" w:space="0" w:color="auto"/>
          </w:divBdr>
        </w:div>
        <w:div w:id="1120151180">
          <w:marLeft w:val="1080"/>
          <w:marRight w:val="0"/>
          <w:marTop w:val="20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1970626593">
      <w:bodyDiv w:val="1"/>
      <w:marLeft w:val="0"/>
      <w:marRight w:val="0"/>
      <w:marTop w:val="0"/>
      <w:marBottom w:val="0"/>
      <w:divBdr>
        <w:top w:val="none" w:sz="0" w:space="0" w:color="auto"/>
        <w:left w:val="none" w:sz="0" w:space="0" w:color="auto"/>
        <w:bottom w:val="none" w:sz="0" w:space="0" w:color="auto"/>
        <w:right w:val="none" w:sz="0" w:space="0" w:color="auto"/>
      </w:divBdr>
      <w:divsChild>
        <w:div w:id="2092072349">
          <w:marLeft w:val="360"/>
          <w:marRight w:val="0"/>
          <w:marTop w:val="200"/>
          <w:marBottom w:val="0"/>
          <w:divBdr>
            <w:top w:val="none" w:sz="0" w:space="0" w:color="auto"/>
            <w:left w:val="none" w:sz="0" w:space="0" w:color="auto"/>
            <w:bottom w:val="none" w:sz="0" w:space="0" w:color="auto"/>
            <w:right w:val="none" w:sz="0" w:space="0" w:color="auto"/>
          </w:divBdr>
        </w:div>
        <w:div w:id="474987">
          <w:marLeft w:val="1080"/>
          <w:marRight w:val="0"/>
          <w:marTop w:val="200"/>
          <w:marBottom w:val="0"/>
          <w:divBdr>
            <w:top w:val="none" w:sz="0" w:space="0" w:color="auto"/>
            <w:left w:val="none" w:sz="0" w:space="0" w:color="auto"/>
            <w:bottom w:val="none" w:sz="0" w:space="0" w:color="auto"/>
            <w:right w:val="none" w:sz="0" w:space="0" w:color="auto"/>
          </w:divBdr>
        </w:div>
      </w:divsChild>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37527984">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F5BBD-0F3D-4A97-9B9B-D328732D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cp:revision>
  <cp:lastPrinted>2012-03-15T10:36:00Z</cp:lastPrinted>
  <dcterms:created xsi:type="dcterms:W3CDTF">2017-09-09T04:44:00Z</dcterms:created>
  <dcterms:modified xsi:type="dcterms:W3CDTF">2017-09-10T03:51:00Z</dcterms:modified>
</cp:coreProperties>
</file>